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CAE08" w14:textId="66D1250B" w:rsidR="00CA74A6" w:rsidRDefault="00CA74A6" w:rsidP="005D4468">
      <w:pPr>
        <w:spacing w:after="0"/>
        <w:jc w:val="both"/>
      </w:pPr>
      <w:r w:rsidRPr="004651B8">
        <w:rPr>
          <w:noProof/>
        </w:rPr>
        <w:drawing>
          <wp:inline distT="0" distB="0" distL="0" distR="0" wp14:anchorId="27839814" wp14:editId="57E01BCB">
            <wp:extent cx="5274310" cy="13201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5EDA" w14:textId="77777777" w:rsidR="00CA74A6" w:rsidRDefault="00CA74A6" w:rsidP="005D4468">
      <w:pPr>
        <w:spacing w:after="0"/>
        <w:jc w:val="both"/>
      </w:pPr>
    </w:p>
    <w:p w14:paraId="44258381" w14:textId="1C2D5C73" w:rsidR="00B6744A" w:rsidRPr="00CA74A6" w:rsidRDefault="00B6744A" w:rsidP="005D4468">
      <w:pPr>
        <w:spacing w:after="0"/>
        <w:jc w:val="both"/>
        <w:rPr>
          <w:b/>
          <w:bCs/>
        </w:rPr>
      </w:pPr>
      <w:r w:rsidRPr="00CA74A6">
        <w:rPr>
          <w:b/>
          <w:bCs/>
        </w:rPr>
        <w:t>Ande</w:t>
      </w:r>
      <w:r w:rsidR="00807191" w:rsidRPr="00CA74A6">
        <w:rPr>
          <w:b/>
          <w:bCs/>
        </w:rPr>
        <w:t>šam</w:t>
      </w:r>
      <w:r w:rsidRPr="00CA74A6">
        <w:rPr>
          <w:b/>
          <w:bCs/>
        </w:rPr>
        <w:t xml:space="preserve"> Kn</w:t>
      </w:r>
      <w:r w:rsidR="00CD6CB0" w:rsidRPr="00CA74A6">
        <w:rPr>
          <w:b/>
          <w:bCs/>
        </w:rPr>
        <w:t>ape</w:t>
      </w:r>
      <w:r w:rsidR="00807191" w:rsidRPr="00CA74A6">
        <w:rPr>
          <w:b/>
          <w:bCs/>
        </w:rPr>
        <w:t>m</w:t>
      </w:r>
      <w:bookmarkStart w:id="0" w:name="_GoBack"/>
      <w:bookmarkEnd w:id="0"/>
      <w:r w:rsidRPr="00CA74A6">
        <w:rPr>
          <w:b/>
          <w:bCs/>
        </w:rPr>
        <w:t>,</w:t>
      </w:r>
    </w:p>
    <w:p w14:paraId="6E32CEEA" w14:textId="46E41E05" w:rsidR="00B6744A" w:rsidRPr="00CA74A6" w:rsidRDefault="00CD6CB0" w:rsidP="005D4468">
      <w:pPr>
        <w:spacing w:after="0"/>
        <w:jc w:val="both"/>
        <w:rPr>
          <w:b/>
          <w:bCs/>
        </w:rPr>
      </w:pPr>
      <w:r w:rsidRPr="00CA74A6">
        <w:rPr>
          <w:b/>
          <w:bCs/>
        </w:rPr>
        <w:t>Eiropas Padomes Vietējo un reģionālo pašvaldību kongresa</w:t>
      </w:r>
      <w:r w:rsidR="00B6744A" w:rsidRPr="00CA74A6">
        <w:rPr>
          <w:b/>
          <w:bCs/>
        </w:rPr>
        <w:t xml:space="preserve"> </w:t>
      </w:r>
      <w:r w:rsidRPr="00CA74A6">
        <w:rPr>
          <w:b/>
          <w:bCs/>
        </w:rPr>
        <w:t>prezidentam</w:t>
      </w:r>
    </w:p>
    <w:p w14:paraId="2E38EC28" w14:textId="77777777" w:rsidR="00B6744A" w:rsidRPr="00E436A3" w:rsidRDefault="00B6744A" w:rsidP="005D4468">
      <w:pPr>
        <w:jc w:val="both"/>
      </w:pPr>
    </w:p>
    <w:p w14:paraId="58C88BD4" w14:textId="77777777" w:rsidR="00B6744A" w:rsidRPr="00E436A3" w:rsidRDefault="00B6744A" w:rsidP="005D4468">
      <w:pPr>
        <w:jc w:val="both"/>
      </w:pPr>
    </w:p>
    <w:p w14:paraId="20A920EE" w14:textId="11250C2C" w:rsidR="00B6744A" w:rsidRPr="00E436A3" w:rsidRDefault="00B6744A" w:rsidP="005D4468">
      <w:pPr>
        <w:jc w:val="both"/>
        <w:rPr>
          <w:b/>
          <w:bCs/>
        </w:rPr>
      </w:pPr>
      <w:r w:rsidRPr="00E436A3">
        <w:rPr>
          <w:b/>
          <w:bCs/>
        </w:rPr>
        <w:t>Par draudiem vietējai un reģionāl</w:t>
      </w:r>
      <w:r w:rsidR="00807191" w:rsidRPr="00E436A3">
        <w:rPr>
          <w:b/>
          <w:bCs/>
        </w:rPr>
        <w:t>aj</w:t>
      </w:r>
      <w:r w:rsidRPr="00E436A3">
        <w:rPr>
          <w:b/>
          <w:bCs/>
        </w:rPr>
        <w:t>ai demokrātijai Latvijā</w:t>
      </w:r>
    </w:p>
    <w:p w14:paraId="136106EE" w14:textId="77777777" w:rsidR="00B6744A" w:rsidRPr="00E436A3" w:rsidRDefault="00B6744A" w:rsidP="005D4468">
      <w:pPr>
        <w:jc w:val="both"/>
      </w:pPr>
    </w:p>
    <w:p w14:paraId="0C53A258" w14:textId="102C4A1D" w:rsidR="00B6744A" w:rsidRPr="00E436A3" w:rsidRDefault="00B6744A" w:rsidP="005D4468">
      <w:pPr>
        <w:jc w:val="both"/>
      </w:pPr>
      <w:r w:rsidRPr="00E436A3">
        <w:t xml:space="preserve">Latvijas Pašvaldību savienība aicina </w:t>
      </w:r>
      <w:bookmarkStart w:id="1" w:name="_Hlk21509555"/>
      <w:r w:rsidRPr="00E436A3">
        <w:t xml:space="preserve">Eiropas Padomes Vietējo un reģionālo pašvaldību kongresu </w:t>
      </w:r>
      <w:bookmarkEnd w:id="1"/>
      <w:r w:rsidRPr="00E436A3">
        <w:t xml:space="preserve">veikt </w:t>
      </w:r>
      <w:r w:rsidR="00716987" w:rsidRPr="00E436A3">
        <w:t xml:space="preserve">ārpuskārtas </w:t>
      </w:r>
      <w:r w:rsidR="00807191" w:rsidRPr="00E436A3">
        <w:t xml:space="preserve">pārbaudi par </w:t>
      </w:r>
      <w:r w:rsidRPr="00E436A3">
        <w:t xml:space="preserve">Eiropas </w:t>
      </w:r>
      <w:r w:rsidR="00807191" w:rsidRPr="00E436A3">
        <w:t>v</w:t>
      </w:r>
      <w:r w:rsidRPr="00E436A3">
        <w:t>ietējo pašvaldību hartas ievērošan</w:t>
      </w:r>
      <w:r w:rsidR="006329FB" w:rsidRPr="00E436A3">
        <w:t>u</w:t>
      </w:r>
      <w:r w:rsidRPr="00E436A3">
        <w:t xml:space="preserve"> Latvijā</w:t>
      </w:r>
      <w:r w:rsidR="00A27055" w:rsidRPr="00E436A3">
        <w:t>.</w:t>
      </w:r>
    </w:p>
    <w:p w14:paraId="7F87C130" w14:textId="19AF141F" w:rsidR="00B6744A" w:rsidRPr="00E436A3" w:rsidRDefault="008F52D1" w:rsidP="005D4468">
      <w:pPr>
        <w:jc w:val="both"/>
      </w:pPr>
      <w:r w:rsidRPr="00E436A3">
        <w:t>Pēdējais</w:t>
      </w:r>
      <w:r w:rsidR="00B6744A" w:rsidRPr="00E436A3">
        <w:t xml:space="preserve"> Eiropas Padomes Vietējo un reģionālo </w:t>
      </w:r>
      <w:r w:rsidR="00807191" w:rsidRPr="00E436A3">
        <w:t>pašvaldību</w:t>
      </w:r>
      <w:r w:rsidR="00B6744A" w:rsidRPr="00E436A3">
        <w:t xml:space="preserve"> kongresa (</w:t>
      </w:r>
      <w:r w:rsidR="005C0B0F" w:rsidRPr="00E436A3">
        <w:t>turpmāk tekstā</w:t>
      </w:r>
      <w:r w:rsidR="00E436A3">
        <w:t xml:space="preserve"> </w:t>
      </w:r>
      <w:r w:rsidR="00807191" w:rsidRPr="00E436A3">
        <w:t>–</w:t>
      </w:r>
      <w:r w:rsidR="005C0B0F" w:rsidRPr="00E436A3">
        <w:t xml:space="preserve"> </w:t>
      </w:r>
      <w:r w:rsidR="00807191" w:rsidRPr="00E436A3">
        <w:t>k</w:t>
      </w:r>
      <w:r w:rsidR="00B6744A" w:rsidRPr="00E436A3">
        <w:t>ongres</w:t>
      </w:r>
      <w:r w:rsidRPr="00E436A3">
        <w:t>a</w:t>
      </w:r>
      <w:r w:rsidR="00B6744A" w:rsidRPr="00E436A3">
        <w:t xml:space="preserve">) </w:t>
      </w:r>
      <w:r w:rsidRPr="00E436A3">
        <w:t>uzraudzības ziņojums</w:t>
      </w:r>
      <w:r w:rsidR="00B6744A" w:rsidRPr="00E436A3">
        <w:t xml:space="preserve"> par situāciju ar vietējo un reģionālo demokrātiju Latvijā deva labu vērtējumu</w:t>
      </w:r>
      <w:r w:rsidRPr="00E436A3">
        <w:t xml:space="preserve">. </w:t>
      </w:r>
      <w:r w:rsidR="00B6744A" w:rsidRPr="00E436A3">
        <w:t xml:space="preserve">Ziņojums CG34(2018)11prov, kas tika </w:t>
      </w:r>
      <w:r w:rsidRPr="00E436A3">
        <w:t>prezentēts</w:t>
      </w:r>
      <w:r w:rsidR="00B6744A" w:rsidRPr="00E436A3">
        <w:t xml:space="preserve"> </w:t>
      </w:r>
      <w:r w:rsidR="00807191" w:rsidRPr="00E436A3">
        <w:t>k</w:t>
      </w:r>
      <w:r w:rsidR="00B6744A" w:rsidRPr="00E436A3">
        <w:t>ongresa 34.</w:t>
      </w:r>
      <w:r w:rsidR="00807191" w:rsidRPr="00E436A3">
        <w:t> </w:t>
      </w:r>
      <w:r w:rsidR="00B6744A" w:rsidRPr="00E436A3">
        <w:t>sesijā 2018.</w:t>
      </w:r>
      <w:r w:rsidR="00807191" w:rsidRPr="00E436A3">
        <w:t> </w:t>
      </w:r>
      <w:r w:rsidR="00B6744A" w:rsidRPr="00E436A3">
        <w:t xml:space="preserve">gada martā, īpaši uzsver, ka vietējām </w:t>
      </w:r>
      <w:r w:rsidRPr="00E436A3">
        <w:t>pašvaldībām</w:t>
      </w:r>
      <w:r w:rsidR="00B6744A" w:rsidRPr="00E436A3">
        <w:t xml:space="preserve"> ir plaša autonomija un plašas pilnvaras un ka starp centrālo valdību un vietējām pašvaldībām</w:t>
      </w:r>
      <w:r w:rsidRPr="00E436A3">
        <w:t xml:space="preserve"> ir efektīvs dialogs</w:t>
      </w:r>
      <w:r w:rsidR="00B6744A" w:rsidRPr="00E436A3">
        <w:t xml:space="preserve">. </w:t>
      </w:r>
      <w:r w:rsidRPr="00E436A3">
        <w:t>Ziņojumā atzinīgi vērtētas</w:t>
      </w:r>
      <w:r w:rsidR="00B6744A" w:rsidRPr="00E436A3">
        <w:t xml:space="preserve"> Satversmes tiesas judikatūrā sniegtās sistemātiskās atsauces uz </w:t>
      </w:r>
      <w:r w:rsidR="005C0B0F" w:rsidRPr="00E436A3">
        <w:t xml:space="preserve">Eiropas </w:t>
      </w:r>
      <w:r w:rsidR="00D52F37" w:rsidRPr="00E436A3">
        <w:t>v</w:t>
      </w:r>
      <w:r w:rsidR="005C0B0F" w:rsidRPr="00E436A3">
        <w:t>ietējo pašvaldību hartu (turpmāk tekstā</w:t>
      </w:r>
      <w:r w:rsidR="00E436A3">
        <w:t xml:space="preserve"> </w:t>
      </w:r>
      <w:r w:rsidR="005C0B0F" w:rsidRPr="00E436A3">
        <w:t xml:space="preserve">– </w:t>
      </w:r>
      <w:r w:rsidR="00D52F37" w:rsidRPr="00E436A3">
        <w:t>h</w:t>
      </w:r>
      <w:r w:rsidR="005C0B0F" w:rsidRPr="00E436A3">
        <w:t>arta)</w:t>
      </w:r>
      <w:r w:rsidR="00B6744A" w:rsidRPr="00E436A3">
        <w:t>, tādējādi nodrošinot tās piemērojamību.</w:t>
      </w:r>
    </w:p>
    <w:p w14:paraId="4A1423EA" w14:textId="61B38796" w:rsidR="00B6744A" w:rsidRPr="00E436A3" w:rsidRDefault="00B6744A" w:rsidP="005D4468">
      <w:pPr>
        <w:jc w:val="both"/>
      </w:pPr>
      <w:r w:rsidRPr="00E436A3">
        <w:t>Tomēr jāatzīmē, ka vietējās un reģionālās demokrātijas perspektīvas pēc parlamenta vēlēšanām 2018.</w:t>
      </w:r>
      <w:r w:rsidR="000D4623" w:rsidRPr="00E436A3">
        <w:t> </w:t>
      </w:r>
      <w:r w:rsidRPr="00E436A3">
        <w:t xml:space="preserve">gadā ir ievērojami pasliktinājušās. </w:t>
      </w:r>
      <w:r w:rsidR="008F52D1" w:rsidRPr="00E436A3">
        <w:t xml:space="preserve">Deklarācija par </w:t>
      </w:r>
      <w:r w:rsidRPr="00E436A3">
        <w:t>Artura Krišjā</w:t>
      </w:r>
      <w:r w:rsidR="008F52D1" w:rsidRPr="00E436A3">
        <w:t>ņ</w:t>
      </w:r>
      <w:r w:rsidR="000D4623" w:rsidRPr="00E436A3">
        <w:t>a</w:t>
      </w:r>
      <w:r w:rsidRPr="00E436A3">
        <w:t xml:space="preserve"> Kariņa vadītā Ministru kabineta iecerēto darbību nosaka kursu uz centralizāciju:</w:t>
      </w:r>
      <w:r w:rsidR="005C0B0F" w:rsidRPr="00E436A3">
        <w:t xml:space="preserve"> </w:t>
      </w:r>
      <w:r w:rsidRPr="00E436A3">
        <w:rPr>
          <w:i/>
          <w:iCs/>
        </w:rPr>
        <w:t>“236.</w:t>
      </w:r>
      <w:r w:rsidR="000D4623" w:rsidRPr="00E436A3">
        <w:rPr>
          <w:i/>
          <w:iCs/>
        </w:rPr>
        <w:t> </w:t>
      </w:r>
      <w:r w:rsidR="00E71D6A" w:rsidRPr="00E436A3">
        <w:rPr>
          <w:i/>
          <w:iCs/>
        </w:rPr>
        <w:t>T</w:t>
      </w:r>
      <w:r w:rsidRPr="00E436A3">
        <w:rPr>
          <w:i/>
          <w:iCs/>
        </w:rPr>
        <w:t>urpināsim valsts pārvaldes reformu plān</w:t>
      </w:r>
      <w:r w:rsidR="005C0B0F" w:rsidRPr="00E436A3">
        <w:rPr>
          <w:i/>
          <w:iCs/>
        </w:rPr>
        <w:t>a īstenošanu</w:t>
      </w:r>
      <w:r w:rsidRPr="00E436A3">
        <w:rPr>
          <w:i/>
          <w:iCs/>
        </w:rPr>
        <w:t xml:space="preserve">, īpašu uzmanību </w:t>
      </w:r>
      <w:r w:rsidR="005C0B0F" w:rsidRPr="00E436A3">
        <w:rPr>
          <w:i/>
          <w:iCs/>
        </w:rPr>
        <w:t>velto</w:t>
      </w:r>
      <w:r w:rsidRPr="00E436A3">
        <w:rPr>
          <w:i/>
          <w:iCs/>
        </w:rPr>
        <w:t xml:space="preserve">t valsts pārvaldes funkciju centralizācijai un </w:t>
      </w:r>
      <w:r w:rsidR="00AF3F5C" w:rsidRPr="00E436A3">
        <w:rPr>
          <w:i/>
          <w:iCs/>
        </w:rPr>
        <w:t xml:space="preserve">birokrātijas </w:t>
      </w:r>
      <w:r w:rsidRPr="00E436A3">
        <w:rPr>
          <w:i/>
          <w:iCs/>
        </w:rPr>
        <w:t>mazināšanai.</w:t>
      </w:r>
      <w:r w:rsidR="00D50EA8" w:rsidRPr="00E436A3">
        <w:rPr>
          <w:i/>
          <w:iCs/>
        </w:rPr>
        <w:t>”</w:t>
      </w:r>
    </w:p>
    <w:p w14:paraId="3E81BA22" w14:textId="66F97023" w:rsidR="006329FB" w:rsidRPr="00E436A3" w:rsidRDefault="001728FA" w:rsidP="005D4468">
      <w:pPr>
        <w:jc w:val="both"/>
      </w:pPr>
      <w:r w:rsidRPr="00E436A3">
        <w:t xml:space="preserve">Birokrātijas </w:t>
      </w:r>
      <w:r w:rsidR="00385F7F" w:rsidRPr="00E436A3">
        <w:t>jeb</w:t>
      </w:r>
      <w:r w:rsidRPr="00E436A3">
        <w:t xml:space="preserve"> </w:t>
      </w:r>
      <w:proofErr w:type="spellStart"/>
      <w:r w:rsidRPr="00E436A3">
        <w:t>p</w:t>
      </w:r>
      <w:r w:rsidR="000E7A03" w:rsidRPr="00E436A3">
        <w:t>ārregulējuma</w:t>
      </w:r>
      <w:proofErr w:type="spellEnd"/>
      <w:r w:rsidR="000E7A03" w:rsidRPr="00E436A3">
        <w:t xml:space="preserve"> mazināšanu kā prioritāti Latvijas Pašvaldību savienība izvirzīja jau pirms desmit gadiem, šis jautājums kļuva par mūsu organizācijas galveno vadlīniju 2018.</w:t>
      </w:r>
      <w:r w:rsidR="00385F7F" w:rsidRPr="00E436A3">
        <w:t> </w:t>
      </w:r>
      <w:r w:rsidR="000E7A03" w:rsidRPr="00E436A3">
        <w:t>gada kongresā.</w:t>
      </w:r>
    </w:p>
    <w:p w14:paraId="01B2A8F8" w14:textId="5F86A4E0" w:rsidR="00B6744A" w:rsidRPr="00E436A3" w:rsidRDefault="00385F7F" w:rsidP="005D4468">
      <w:pPr>
        <w:jc w:val="both"/>
      </w:pPr>
      <w:r w:rsidRPr="00E436A3">
        <w:t>Valstī n</w:t>
      </w:r>
      <w:r w:rsidR="005C0B0F" w:rsidRPr="00E436A3">
        <w:t xml:space="preserve">av </w:t>
      </w:r>
      <w:r w:rsidR="00B6744A" w:rsidRPr="00E436A3">
        <w:t>novēro</w:t>
      </w:r>
      <w:r w:rsidR="005C0B0F" w:rsidRPr="00E436A3">
        <w:t>jama</w:t>
      </w:r>
      <w:r w:rsidR="00B6744A" w:rsidRPr="00E436A3">
        <w:t xml:space="preserve"> </w:t>
      </w:r>
      <w:proofErr w:type="spellStart"/>
      <w:r w:rsidR="000E7A03" w:rsidRPr="00E436A3">
        <w:t>pārregulējuma</w:t>
      </w:r>
      <w:proofErr w:type="spellEnd"/>
      <w:r w:rsidR="00B6744A" w:rsidRPr="00E436A3">
        <w:t xml:space="preserve"> samazināšan</w:t>
      </w:r>
      <w:r w:rsidR="000E7A03" w:rsidRPr="00E436A3">
        <w:t>ās</w:t>
      </w:r>
      <w:r w:rsidR="00B6744A" w:rsidRPr="00E436A3">
        <w:t xml:space="preserve">, bet </w:t>
      </w:r>
      <w:r w:rsidRPr="00E436A3">
        <w:t>no</w:t>
      </w:r>
      <w:r w:rsidR="00B6744A" w:rsidRPr="00E436A3">
        <w:t>tiek intensīva virzība uz centralizāciju un koncentr</w:t>
      </w:r>
      <w:r w:rsidR="00B043BB" w:rsidRPr="00E436A3">
        <w:t>āciju</w:t>
      </w:r>
      <w:r w:rsidR="00B6744A" w:rsidRPr="00E436A3">
        <w:t xml:space="preserve">. Pirmkārt, tā ir </w:t>
      </w:r>
      <w:r w:rsidR="005C0B0F" w:rsidRPr="00E436A3">
        <w:t>a</w:t>
      </w:r>
      <w:r w:rsidR="00B6744A" w:rsidRPr="00E436A3">
        <w:t>dministratīvi teritoriālās reformas (</w:t>
      </w:r>
      <w:r w:rsidR="005C0B0F" w:rsidRPr="00E436A3">
        <w:t>turpmāk tekstā</w:t>
      </w:r>
      <w:r w:rsidR="00E436A3">
        <w:t xml:space="preserve"> </w:t>
      </w:r>
      <w:r w:rsidR="00226B53" w:rsidRPr="00E436A3">
        <w:t>–</w:t>
      </w:r>
      <w:r w:rsidR="005C0B0F" w:rsidRPr="00E436A3">
        <w:t xml:space="preserve"> </w:t>
      </w:r>
      <w:r w:rsidR="00B6744A" w:rsidRPr="00E436A3">
        <w:t xml:space="preserve">ATR) turpināšana ar daudziem </w:t>
      </w:r>
      <w:r w:rsidR="00226B53" w:rsidRPr="00E436A3">
        <w:t>h</w:t>
      </w:r>
      <w:r w:rsidR="005C0B0F" w:rsidRPr="00E436A3">
        <w:t>artas</w:t>
      </w:r>
      <w:r w:rsidR="00B6744A" w:rsidRPr="00E436A3">
        <w:t xml:space="preserve"> pārkāpumiem. Otrkārt, pašvaldību fiskālā</w:t>
      </w:r>
      <w:r w:rsidR="005C0B0F" w:rsidRPr="00E436A3">
        <w:t>s</w:t>
      </w:r>
      <w:r w:rsidR="00B6744A" w:rsidRPr="00E436A3">
        <w:t xml:space="preserve"> autonomija</w:t>
      </w:r>
      <w:r w:rsidR="005C0B0F" w:rsidRPr="00E436A3">
        <w:t>s samazināšana</w:t>
      </w:r>
      <w:r w:rsidR="00B6744A" w:rsidRPr="00E436A3">
        <w:t xml:space="preserve"> </w:t>
      </w:r>
      <w:r w:rsidR="005C0B0F" w:rsidRPr="00E436A3">
        <w:t xml:space="preserve">arī </w:t>
      </w:r>
      <w:r w:rsidR="00B6744A" w:rsidRPr="00E436A3">
        <w:t xml:space="preserve">ar daudziem </w:t>
      </w:r>
      <w:r w:rsidR="005C0B0F" w:rsidRPr="00E436A3">
        <w:t xml:space="preserve">nacionālās likumdošanas </w:t>
      </w:r>
      <w:r w:rsidR="00B6744A" w:rsidRPr="00E436A3">
        <w:t>pārkāpumiem. Treškārt, tie ir draudi, ko rada centrālās valdības nodoms grozīt vietējo un reģionālo pašvaldību tiesību aktus.</w:t>
      </w:r>
    </w:p>
    <w:p w14:paraId="3E08E738" w14:textId="4F25B38D" w:rsidR="00B6744A" w:rsidRPr="00E436A3" w:rsidRDefault="00B6744A" w:rsidP="005D4468">
      <w:pPr>
        <w:jc w:val="both"/>
      </w:pPr>
      <w:r w:rsidRPr="00E436A3">
        <w:rPr>
          <w:b/>
          <w:bCs/>
        </w:rPr>
        <w:t>Hartas pārkāpumi ATR</w:t>
      </w:r>
      <w:r w:rsidR="00120C7C" w:rsidRPr="00E436A3">
        <w:rPr>
          <w:b/>
          <w:bCs/>
        </w:rPr>
        <w:t xml:space="preserve"> turpinājumā</w:t>
      </w:r>
      <w:r w:rsidRPr="00E436A3">
        <w:t>:</w:t>
      </w:r>
    </w:p>
    <w:p w14:paraId="769B20DD" w14:textId="2DD1D24C" w:rsidR="00B6744A" w:rsidRPr="00E436A3" w:rsidRDefault="00B6744A" w:rsidP="005D4468">
      <w:pPr>
        <w:jc w:val="both"/>
      </w:pPr>
      <w:r w:rsidRPr="00E436A3">
        <w:t xml:space="preserve">Hartas preambula </w:t>
      </w:r>
      <w:r w:rsidR="00841470" w:rsidRPr="00E436A3">
        <w:t>skaidro</w:t>
      </w:r>
      <w:r w:rsidRPr="00E436A3">
        <w:t>, ka kopējais mērķis ir tādas Eiropas veidošana, kuras pamatā ir demokrātijas un varas decentralizācijas principi. Centralizācijas gadījum</w:t>
      </w:r>
      <w:r w:rsidR="005C0B0F" w:rsidRPr="00E436A3">
        <w:t>iem jābalstās uz</w:t>
      </w:r>
      <w:r w:rsidRPr="00E436A3">
        <w:t xml:space="preserve"> faktiem par “uzdevuma apjomu un veidu, kā arī efektivitātes un ekonomiskuma prasībām” (subsidiaritātes princips, </w:t>
      </w:r>
      <w:r w:rsidR="000054D6" w:rsidRPr="00E436A3">
        <w:t>4</w:t>
      </w:r>
      <w:r w:rsidRPr="00E436A3">
        <w:t>.</w:t>
      </w:r>
      <w:r w:rsidR="00DC32A2" w:rsidRPr="00E436A3">
        <w:t> </w:t>
      </w:r>
      <w:r w:rsidRPr="00E436A3">
        <w:t>panta 3.</w:t>
      </w:r>
      <w:r w:rsidR="00DC32A2" w:rsidRPr="00E436A3">
        <w:t> </w:t>
      </w:r>
      <w:r w:rsidRPr="00E436A3">
        <w:t>punkts).</w:t>
      </w:r>
    </w:p>
    <w:p w14:paraId="3848C71B" w14:textId="42F6A83D" w:rsidR="00B6744A" w:rsidRPr="00E436A3" w:rsidRDefault="00B6744A" w:rsidP="005D4468">
      <w:pPr>
        <w:jc w:val="both"/>
      </w:pPr>
      <w:r w:rsidRPr="00E436A3">
        <w:lastRenderedPageBreak/>
        <w:t xml:space="preserve">Iepriekšminētās valdības deklarācijas </w:t>
      </w:r>
      <w:r w:rsidR="00DC32A2" w:rsidRPr="00E436A3">
        <w:t>iecere</w:t>
      </w:r>
      <w:r w:rsidRPr="00E436A3">
        <w:t xml:space="preserve"> nav balstīt</w:t>
      </w:r>
      <w:r w:rsidR="00DC32A2" w:rsidRPr="00E436A3">
        <w:t>a</w:t>
      </w:r>
      <w:r w:rsidRPr="00E436A3">
        <w:t xml:space="preserve"> uz faktiem, kas pierādītu kvalitātes vai pieejamības trūkumu paš</w:t>
      </w:r>
      <w:r w:rsidR="00DC32A2" w:rsidRPr="00E436A3">
        <w:t>reizē</w:t>
      </w:r>
      <w:r w:rsidRPr="00E436A3">
        <w:t xml:space="preserve">jās 119 pašvaldībās: </w:t>
      </w:r>
      <w:r w:rsidRPr="00E436A3">
        <w:rPr>
          <w:i/>
          <w:iCs/>
        </w:rPr>
        <w:t>“223.</w:t>
      </w:r>
      <w:r w:rsidR="00DC32A2" w:rsidRPr="00E436A3">
        <w:rPr>
          <w:i/>
          <w:iCs/>
        </w:rPr>
        <w:t> </w:t>
      </w:r>
      <w:r w:rsidRPr="00E436A3">
        <w:rPr>
          <w:i/>
          <w:iCs/>
        </w:rPr>
        <w:t>Līdz 2021.</w:t>
      </w:r>
      <w:r w:rsidR="00DC32A2" w:rsidRPr="00E436A3">
        <w:rPr>
          <w:i/>
          <w:iCs/>
        </w:rPr>
        <w:t> </w:t>
      </w:r>
      <w:r w:rsidRPr="00E436A3">
        <w:rPr>
          <w:i/>
          <w:iCs/>
        </w:rPr>
        <w:t xml:space="preserve">gadam īstenosim </w:t>
      </w:r>
      <w:r w:rsidR="000054D6" w:rsidRPr="00E436A3">
        <w:rPr>
          <w:i/>
          <w:iCs/>
        </w:rPr>
        <w:t xml:space="preserve">vietējo </w:t>
      </w:r>
      <w:r w:rsidRPr="00E436A3">
        <w:rPr>
          <w:i/>
          <w:iCs/>
        </w:rPr>
        <w:t>pašvaldību reformu, apvienojot pašvald</w:t>
      </w:r>
      <w:r w:rsidR="000054D6" w:rsidRPr="00E436A3">
        <w:rPr>
          <w:i/>
          <w:iCs/>
        </w:rPr>
        <w:t>ības</w:t>
      </w:r>
      <w:r w:rsidRPr="00E436A3">
        <w:rPr>
          <w:i/>
          <w:iCs/>
        </w:rPr>
        <w:t xml:space="preserve"> ilgtspējīgākā</w:t>
      </w:r>
      <w:r w:rsidR="000054D6" w:rsidRPr="00E436A3">
        <w:rPr>
          <w:i/>
          <w:iCs/>
        </w:rPr>
        <w:t>s</w:t>
      </w:r>
      <w:r w:rsidRPr="00E436A3">
        <w:rPr>
          <w:i/>
          <w:iCs/>
        </w:rPr>
        <w:t xml:space="preserve"> un ekonomiski spēcīgākā</w:t>
      </w:r>
      <w:r w:rsidR="000054D6" w:rsidRPr="00E436A3">
        <w:rPr>
          <w:i/>
          <w:iCs/>
        </w:rPr>
        <w:t xml:space="preserve">s </w:t>
      </w:r>
      <w:r w:rsidRPr="00E436A3">
        <w:rPr>
          <w:i/>
          <w:iCs/>
        </w:rPr>
        <w:t>vienībā</w:t>
      </w:r>
      <w:r w:rsidR="000054D6" w:rsidRPr="00E436A3">
        <w:rPr>
          <w:i/>
          <w:iCs/>
        </w:rPr>
        <w:t>s</w:t>
      </w:r>
      <w:r w:rsidRPr="00E436A3">
        <w:rPr>
          <w:i/>
          <w:iCs/>
        </w:rPr>
        <w:t>, kas spēj nodrošināt likumā minēto pašvaldību autonomo funkciju izpildi salīdzināmā kvalitātē un pieejamībā.”</w:t>
      </w:r>
    </w:p>
    <w:p w14:paraId="5B0B245C" w14:textId="27C8F72A" w:rsidR="00B6744A" w:rsidRPr="00E436A3" w:rsidRDefault="00B6744A" w:rsidP="005D4468">
      <w:pPr>
        <w:jc w:val="both"/>
      </w:pPr>
      <w:r w:rsidRPr="00E436A3">
        <w:t>Pēc iepriekšējās ATR 2009.</w:t>
      </w:r>
      <w:r w:rsidR="00E436A3">
        <w:t> </w:t>
      </w:r>
      <w:r w:rsidRPr="00E436A3">
        <w:t xml:space="preserve">gadā (26 rajonu </w:t>
      </w:r>
      <w:r w:rsidR="000054D6" w:rsidRPr="00E436A3">
        <w:t>pašvaldību</w:t>
      </w:r>
      <w:r w:rsidRPr="00E436A3">
        <w:t xml:space="preserve"> atcelšana, 550 vietējo pašvaldību apvienošana 119</w:t>
      </w:r>
      <w:r w:rsidR="0007489A" w:rsidRPr="00E436A3">
        <w:t xml:space="preserve"> pašvaldībās</w:t>
      </w:r>
      <w:r w:rsidRPr="00E436A3">
        <w:t xml:space="preserve">) tika pārtraukta teritoriālās statistikas </w:t>
      </w:r>
      <w:r w:rsidR="00716987" w:rsidRPr="00E436A3">
        <w:t>apkopošan</w:t>
      </w:r>
      <w:r w:rsidR="0007489A" w:rsidRPr="00E436A3">
        <w:t>a</w:t>
      </w:r>
      <w:r w:rsidRPr="00E436A3">
        <w:t xml:space="preserve"> par </w:t>
      </w:r>
      <w:r w:rsidR="000054D6" w:rsidRPr="00E436A3">
        <w:t>bijušajām</w:t>
      </w:r>
      <w:r w:rsidRPr="00E436A3">
        <w:t xml:space="preserve"> administratīvajām teritorijām. Tā</w:t>
      </w:r>
      <w:r w:rsidR="000054D6" w:rsidRPr="00E436A3">
        <w:t>d</w:t>
      </w:r>
      <w:r w:rsidR="0007489A" w:rsidRPr="00E436A3">
        <w:t>ē</w:t>
      </w:r>
      <w:r w:rsidR="000054D6" w:rsidRPr="00E436A3">
        <w:t>jādi</w:t>
      </w:r>
      <w:r w:rsidRPr="00E436A3">
        <w:t xml:space="preserve"> 2013.</w:t>
      </w:r>
      <w:r w:rsidR="0007489A" w:rsidRPr="00E436A3">
        <w:t> </w:t>
      </w:r>
      <w:r w:rsidRPr="00E436A3">
        <w:t>gadā veikt</w:t>
      </w:r>
      <w:r w:rsidR="005C7A7D" w:rsidRPr="00E436A3">
        <w:t>ai</w:t>
      </w:r>
      <w:r w:rsidRPr="00E436A3">
        <w:t xml:space="preserve">s reformas novērtējums nebija balstīts uz faktiem par </w:t>
      </w:r>
      <w:r w:rsidR="005C7A7D" w:rsidRPr="00E436A3">
        <w:t>apvienošanas</w:t>
      </w:r>
      <w:r w:rsidRPr="00E436A3">
        <w:t xml:space="preserve"> sociālo un ekonomisko ietekmi, jo īpaši netika veikts novērtējums par ietekmi uz perifērijām</w:t>
      </w:r>
      <w:r w:rsidR="005C7A7D" w:rsidRPr="00E436A3">
        <w:t>, kas izveidojās reformas laikā</w:t>
      </w:r>
      <w:r w:rsidRPr="00E436A3">
        <w:t>. Sasniegumu salīdzināšana mazās, vidējās un lielās teritorijās netika veikta. T</w:t>
      </w:r>
      <w:r w:rsidR="005C7A7D" w:rsidRPr="00E436A3">
        <w:t>ād</w:t>
      </w:r>
      <w:r w:rsidR="0007489A" w:rsidRPr="00E436A3">
        <w:t>ē</w:t>
      </w:r>
      <w:r w:rsidR="005C7A7D" w:rsidRPr="00E436A3">
        <w:t>jādi netika</w:t>
      </w:r>
      <w:r w:rsidRPr="00E436A3">
        <w:t xml:space="preserve"> pierādīta </w:t>
      </w:r>
      <w:r w:rsidR="0007489A" w:rsidRPr="00E436A3">
        <w:t xml:space="preserve">turpmākas apvienošanas </w:t>
      </w:r>
      <w:r w:rsidRPr="00E436A3">
        <w:t>nepieciešamība.</w:t>
      </w:r>
      <w:r w:rsidR="000E7A03" w:rsidRPr="00E436A3">
        <w:t xml:space="preserve"> </w:t>
      </w:r>
      <w:r w:rsidR="0096047B" w:rsidRPr="00E436A3">
        <w:t xml:space="preserve">Piedāvājot 36 pašvaldību modeli </w:t>
      </w:r>
      <w:r w:rsidR="0007489A" w:rsidRPr="00E436A3">
        <w:t xml:space="preserve">uz </w:t>
      </w:r>
      <w:r w:rsidR="0096047B" w:rsidRPr="00E436A3">
        <w:t>2021.</w:t>
      </w:r>
      <w:r w:rsidR="0007489A" w:rsidRPr="00E436A3">
        <w:t> </w:t>
      </w:r>
      <w:r w:rsidR="0096047B" w:rsidRPr="00E436A3">
        <w:t>gad</w:t>
      </w:r>
      <w:r w:rsidR="0007489A" w:rsidRPr="00E436A3">
        <w:t>u,</w:t>
      </w:r>
      <w:r w:rsidR="0096047B" w:rsidRPr="00E436A3">
        <w:t xml:space="preserve"> nav salīdzināta lielo un mazo pašvaldību pieredze pēc iepriekšēj</w:t>
      </w:r>
      <w:r w:rsidR="0007489A" w:rsidRPr="00E436A3">
        <w:t>ā</w:t>
      </w:r>
      <w:r w:rsidR="0096047B" w:rsidRPr="00E436A3">
        <w:t>s reformas, pētniekiem pasūtīta politisko lēmumu advokatūra</w:t>
      </w:r>
      <w:r w:rsidR="0007489A" w:rsidRPr="00E436A3">
        <w:t>,</w:t>
      </w:r>
      <w:r w:rsidR="0096047B" w:rsidRPr="00E436A3">
        <w:t xml:space="preserve"> nevis faktu un datu analīze.</w:t>
      </w:r>
    </w:p>
    <w:p w14:paraId="557EB72F" w14:textId="3540326C" w:rsidR="00B6744A" w:rsidRPr="00E436A3" w:rsidRDefault="00B6744A" w:rsidP="005D4468">
      <w:pPr>
        <w:jc w:val="both"/>
      </w:pPr>
      <w:r w:rsidRPr="00E436A3">
        <w:t>Harta ietver īpašas prasības attiecībā uz “iepriekšēju apspriešanos ar attiecīgajām vietējām kopienām, iespējams, ar referendum</w:t>
      </w:r>
      <w:r w:rsidR="005C7A7D" w:rsidRPr="00E436A3">
        <w:t>a palīdzību</w:t>
      </w:r>
      <w:r w:rsidRPr="00E436A3">
        <w:t>, ja tas ir atļauts ar likumu” (5.</w:t>
      </w:r>
      <w:r w:rsidR="00945F0E" w:rsidRPr="00E436A3">
        <w:t> </w:t>
      </w:r>
      <w:r w:rsidRPr="00E436A3">
        <w:t xml:space="preserve">pants), ja </w:t>
      </w:r>
      <w:r w:rsidR="005C7A7D" w:rsidRPr="00E436A3">
        <w:t>tiek mainītas</w:t>
      </w:r>
      <w:r w:rsidRPr="00E436A3">
        <w:t xml:space="preserve"> vietējo pašvaldību robežas. Vietējie referendumi Latvijā ir likumīgi (Likums par pašvaldībām, 61.</w:t>
      </w:r>
      <w:r w:rsidR="005C7A7D" w:rsidRPr="00E436A3">
        <w:rPr>
          <w:vertAlign w:val="superscript"/>
        </w:rPr>
        <w:t>3</w:t>
      </w:r>
      <w:r w:rsidR="00E81EBB" w:rsidRPr="00E436A3">
        <w:t> p</w:t>
      </w:r>
      <w:r w:rsidR="005C7A7D" w:rsidRPr="00E436A3">
        <w:t>ants</w:t>
      </w:r>
      <w:r w:rsidRPr="00E436A3">
        <w:t>)</w:t>
      </w:r>
      <w:r w:rsidR="005C7A7D" w:rsidRPr="00E436A3">
        <w:t xml:space="preserve">, taču </w:t>
      </w:r>
      <w:r w:rsidRPr="00E436A3">
        <w:t>likumprojekt</w:t>
      </w:r>
      <w:r w:rsidR="005C7A7D" w:rsidRPr="00E436A3">
        <w:t>s</w:t>
      </w:r>
      <w:r w:rsidRPr="00E436A3">
        <w:t xml:space="preserve"> par vietējiem referendumiem jau daudzus gadus</w:t>
      </w:r>
      <w:r w:rsidR="005C7A7D" w:rsidRPr="00E436A3">
        <w:t xml:space="preserve"> atrodas apspriešanās Saeimas </w:t>
      </w:r>
      <w:r w:rsidRPr="00E436A3">
        <w:t>komisijā. Līdz ar to vietēj</w:t>
      </w:r>
      <w:r w:rsidR="00E81EBB" w:rsidRPr="00E436A3">
        <w:t>o</w:t>
      </w:r>
      <w:r w:rsidRPr="00E436A3">
        <w:t>s referendumus var veikt ar pašvaldības domes lēmumu un tie var būt tikai konsultatīvi.</w:t>
      </w:r>
    </w:p>
    <w:p w14:paraId="79467723" w14:textId="7999D7E2" w:rsidR="00B6744A" w:rsidRPr="00E436A3" w:rsidRDefault="00B6744A" w:rsidP="005D4468">
      <w:pPr>
        <w:jc w:val="both"/>
      </w:pPr>
      <w:r w:rsidRPr="00E436A3">
        <w:t>Uzsākot jauno ATR posmu, par reformu atbildīgais ministrs</w:t>
      </w:r>
      <w:r w:rsidR="00E436A3">
        <w:t xml:space="preserve"> </w:t>
      </w:r>
      <w:r w:rsidR="00C56A25" w:rsidRPr="00E436A3">
        <w:t>– v</w:t>
      </w:r>
      <w:r w:rsidRPr="00E436A3">
        <w:t xml:space="preserve">ides aizsardzības un reģionālās attīstības ministrs </w:t>
      </w:r>
      <w:r w:rsidR="005C7A7D" w:rsidRPr="00E436A3">
        <w:t>Juris Pūce</w:t>
      </w:r>
      <w:r w:rsidR="00E436A3">
        <w:t xml:space="preserve"> </w:t>
      </w:r>
      <w:r w:rsidR="00C56A25" w:rsidRPr="00E436A3">
        <w:t xml:space="preserve">– </w:t>
      </w:r>
      <w:r w:rsidRPr="00E436A3">
        <w:t>procesu</w:t>
      </w:r>
      <w:r w:rsidR="0081575E" w:rsidRPr="00E436A3">
        <w:t xml:space="preserve"> </w:t>
      </w:r>
      <w:r w:rsidR="00C56A25" w:rsidRPr="00E436A3">
        <w:t xml:space="preserve">sāka </w:t>
      </w:r>
      <w:r w:rsidR="0081575E" w:rsidRPr="00E436A3">
        <w:t>ar</w:t>
      </w:r>
      <w:r w:rsidRPr="00E436A3">
        <w:t xml:space="preserve"> iebiedē</w:t>
      </w:r>
      <w:r w:rsidR="0081575E" w:rsidRPr="00E436A3">
        <w:t>šanu</w:t>
      </w:r>
      <w:r w:rsidRPr="00E436A3">
        <w:t xml:space="preserve">, ar </w:t>
      </w:r>
      <w:r w:rsidR="0081575E" w:rsidRPr="00E436A3">
        <w:t>r</w:t>
      </w:r>
      <w:r w:rsidRPr="00E436A3">
        <w:t>īkojumu par konsultāciju pārtraukšanu ar iedzīvotājiem Ikšķile</w:t>
      </w:r>
      <w:r w:rsidR="0081575E" w:rsidRPr="00E436A3">
        <w:t>s</w:t>
      </w:r>
      <w:r w:rsidRPr="00E436A3">
        <w:t xml:space="preserve"> novadā. </w:t>
      </w:r>
      <w:r w:rsidR="00F46352" w:rsidRPr="00E436A3">
        <w:t>2019. gada maija k</w:t>
      </w:r>
      <w:r w:rsidR="0081575E" w:rsidRPr="00E436A3">
        <w:t>onsultācij</w:t>
      </w:r>
      <w:r w:rsidR="00F46352" w:rsidRPr="00E436A3">
        <w:t>ās</w:t>
      </w:r>
      <w:r w:rsidRPr="00E436A3">
        <w:t>, kas notika ar dalībnieku reģistrāciju (</w:t>
      </w:r>
      <w:r w:rsidR="0081575E" w:rsidRPr="00E436A3">
        <w:t>konsultāciju</w:t>
      </w:r>
      <w:r w:rsidRPr="00E436A3">
        <w:t xml:space="preserve"> procedūra bija tuvu referenduma procedūrai, piedalījās 42% no tiem, kuriem ir tiesības ievēlēt vietējo domi), rezultāts bija 98,45% balsu par </w:t>
      </w:r>
      <w:r w:rsidR="00F46352" w:rsidRPr="00E436A3">
        <w:t>novada</w:t>
      </w:r>
      <w:r w:rsidRPr="00E436A3">
        <w:t xml:space="preserve"> saglabāšanu tā pašreizējā teritorijā.</w:t>
      </w:r>
    </w:p>
    <w:p w14:paraId="109ACC4C" w14:textId="3171644F" w:rsidR="00CD3AB2" w:rsidRPr="00E436A3" w:rsidRDefault="0096047B" w:rsidP="005D4468">
      <w:pPr>
        <w:jc w:val="both"/>
      </w:pPr>
      <w:r w:rsidRPr="00E436A3">
        <w:t xml:space="preserve">Iebiedēšana kavēja iedzīvotāju viedokļu </w:t>
      </w:r>
      <w:r w:rsidR="00AA59CE" w:rsidRPr="00E436A3">
        <w:t xml:space="preserve">pilnvērtīgu </w:t>
      </w:r>
      <w:r w:rsidRPr="00E436A3">
        <w:t>noskaidrošanu</w:t>
      </w:r>
      <w:r w:rsidR="00AA59CE" w:rsidRPr="00E436A3">
        <w:t>.</w:t>
      </w:r>
      <w:r w:rsidRPr="00E436A3">
        <w:t xml:space="preserve"> Gatavojot politikas dokumentu reformai</w:t>
      </w:r>
      <w:r w:rsidR="00AA59CE" w:rsidRPr="00E436A3">
        <w:t>,</w:t>
      </w:r>
      <w:r w:rsidRPr="00E436A3">
        <w:t xml:space="preserve"> konsultācijas notika steigā, </w:t>
      </w:r>
      <w:r w:rsidR="00F22EC7" w:rsidRPr="00E436A3">
        <w:t>bez iespējas pārstāvēt faktos balstītu viet</w:t>
      </w:r>
      <w:r w:rsidR="008D794A" w:rsidRPr="00E436A3">
        <w:t>ē</w:t>
      </w:r>
      <w:r w:rsidR="00F22EC7" w:rsidRPr="00E436A3">
        <w:t>jās kopienas viedokli.</w:t>
      </w:r>
    </w:p>
    <w:p w14:paraId="1F557D97" w14:textId="61E19FF3" w:rsidR="00B6744A" w:rsidRPr="00E436A3" w:rsidRDefault="00B6744A" w:rsidP="005D4468">
      <w:pPr>
        <w:jc w:val="both"/>
      </w:pPr>
      <w:r w:rsidRPr="00E436A3">
        <w:t>Ikšķile</w:t>
      </w:r>
      <w:r w:rsidR="0081575E" w:rsidRPr="00E436A3">
        <w:t>s</w:t>
      </w:r>
      <w:r w:rsidRPr="00E436A3">
        <w:t xml:space="preserve"> novada dome savā sēdē 2019.</w:t>
      </w:r>
      <w:r w:rsidR="00AA59CE" w:rsidRPr="00E436A3">
        <w:t> </w:t>
      </w:r>
      <w:r w:rsidRPr="00E436A3">
        <w:t>gada 2.</w:t>
      </w:r>
      <w:r w:rsidR="00AA59CE" w:rsidRPr="00E436A3">
        <w:t> </w:t>
      </w:r>
      <w:r w:rsidRPr="00E436A3">
        <w:t xml:space="preserve">oktobrī </w:t>
      </w:r>
      <w:r w:rsidR="0081575E" w:rsidRPr="00E436A3">
        <w:t>aicināja</w:t>
      </w:r>
      <w:r w:rsidRPr="00E436A3">
        <w:t xml:space="preserve"> parlament</w:t>
      </w:r>
      <w:r w:rsidR="0000468C" w:rsidRPr="00E436A3">
        <w:t>u</w:t>
      </w:r>
      <w:r w:rsidRPr="00E436A3">
        <w:t xml:space="preserve"> noraidīt Vides aizsardzības un reģionālās attīstības ministrijas iesniegto reformas priekšlikumu, bet likuma pieņemšanas gadījumā t</w:t>
      </w:r>
      <w:r w:rsidR="0000468C" w:rsidRPr="00E436A3">
        <w:t xml:space="preserve">ā sola </w:t>
      </w:r>
      <w:r w:rsidRPr="00E436A3">
        <w:t>vērs</w:t>
      </w:r>
      <w:r w:rsidR="0000468C" w:rsidRPr="00E436A3">
        <w:t>ties</w:t>
      </w:r>
      <w:r w:rsidRPr="00E436A3">
        <w:t xml:space="preserve"> Satversmes tiesā par reformas nelikumību. Ikšķile</w:t>
      </w:r>
      <w:r w:rsidR="00AA59CE" w:rsidRPr="00E436A3">
        <w:t>s</w:t>
      </w:r>
      <w:r w:rsidRPr="00E436A3">
        <w:t xml:space="preserve"> novada dome arī </w:t>
      </w:r>
      <w:r w:rsidR="0000468C" w:rsidRPr="00E436A3">
        <w:t>iesniedza</w:t>
      </w:r>
      <w:r w:rsidRPr="00E436A3">
        <w:t xml:space="preserve"> Satversmes ties</w:t>
      </w:r>
      <w:r w:rsidR="00AA59CE" w:rsidRPr="00E436A3">
        <w:t>ā</w:t>
      </w:r>
      <w:r w:rsidRPr="00E436A3">
        <w:t xml:space="preserve"> </w:t>
      </w:r>
      <w:r w:rsidR="0000468C" w:rsidRPr="00E436A3">
        <w:t xml:space="preserve">prasību </w:t>
      </w:r>
      <w:r w:rsidRPr="00E436A3">
        <w:t xml:space="preserve">atcelt </w:t>
      </w:r>
      <w:r w:rsidR="00AA59CE" w:rsidRPr="00E436A3">
        <w:t>v</w:t>
      </w:r>
      <w:r w:rsidRPr="00E436A3">
        <w:t>ides aizsardzības un reģionālās attīstības ministra rīkojumu, un tiesa sāks sēdes 2020.</w:t>
      </w:r>
      <w:r w:rsidR="00AA59CE" w:rsidRPr="00E436A3">
        <w:t> </w:t>
      </w:r>
      <w:r w:rsidRPr="00E436A3">
        <w:t>gada janvāra vidū.</w:t>
      </w:r>
    </w:p>
    <w:p w14:paraId="2DBFD7B5" w14:textId="0E562A68" w:rsidR="00B6744A" w:rsidRPr="00E436A3" w:rsidRDefault="00B6744A" w:rsidP="005D4468">
      <w:pPr>
        <w:jc w:val="both"/>
      </w:pPr>
      <w:r w:rsidRPr="00E436A3">
        <w:t xml:space="preserve">Iebiedēšana ietekmēja </w:t>
      </w:r>
      <w:r w:rsidR="0001795E" w:rsidRPr="00E436A3">
        <w:t xml:space="preserve">vietējo kopienu </w:t>
      </w:r>
      <w:r w:rsidRPr="00E436A3">
        <w:t xml:space="preserve">iespēju paust </w:t>
      </w:r>
      <w:r w:rsidR="0001795E" w:rsidRPr="00E436A3">
        <w:t xml:space="preserve">savu </w:t>
      </w:r>
      <w:r w:rsidRPr="00E436A3">
        <w:t xml:space="preserve">viedokli. </w:t>
      </w:r>
      <w:r w:rsidR="002A39B1" w:rsidRPr="00E436A3">
        <w:t>Trīsde</w:t>
      </w:r>
      <w:r w:rsidR="00487254" w:rsidRPr="00E436A3">
        <w:t>s</w:t>
      </w:r>
      <w:r w:rsidR="002A39B1" w:rsidRPr="00E436A3">
        <w:t>mit divās</w:t>
      </w:r>
      <w:r w:rsidR="006329FB" w:rsidRPr="00E436A3">
        <w:t xml:space="preserve"> </w:t>
      </w:r>
      <w:r w:rsidR="00AA59CE" w:rsidRPr="00E436A3">
        <w:t>administratīvajās teritorijās</w:t>
      </w:r>
      <w:r w:rsidR="0001795E" w:rsidRPr="00E436A3">
        <w:t xml:space="preserve"> </w:t>
      </w:r>
      <w:r w:rsidRPr="00E436A3">
        <w:t>sabiedriskās domas aptauja tika organizēta, bet ne tik fundamentāli kā Ikšķil</w:t>
      </w:r>
      <w:r w:rsidR="00F22EC7" w:rsidRPr="00E436A3">
        <w:t>ē.</w:t>
      </w:r>
    </w:p>
    <w:p w14:paraId="33C30A07" w14:textId="6F3F99C4" w:rsidR="00B6744A" w:rsidRPr="00E436A3" w:rsidRDefault="00B6744A" w:rsidP="005D4468">
      <w:pPr>
        <w:jc w:val="both"/>
      </w:pPr>
      <w:r w:rsidRPr="00E436A3">
        <w:t>Tabula. Pašvaldības, kas organizēja sabiedriskās domas aptaujas</w:t>
      </w:r>
      <w:r w:rsidR="0001795E" w:rsidRPr="00E436A3">
        <w:t>,</w:t>
      </w:r>
      <w:r w:rsidRPr="00E436A3">
        <w:t xml:space="preserve"> un balsu procent</w:t>
      </w:r>
      <w:r w:rsidR="00AA59CE" w:rsidRPr="00E436A3">
        <w:t>i</w:t>
      </w:r>
      <w:r w:rsidRPr="00E436A3">
        <w:t xml:space="preserve"> pret </w:t>
      </w:r>
      <w:r w:rsidR="00487254" w:rsidRPr="00E436A3">
        <w:t>piedāvāto r</w:t>
      </w:r>
      <w:r w:rsidRPr="00E436A3">
        <w:t>eform</w:t>
      </w:r>
      <w:r w:rsidR="00487254" w:rsidRPr="00E436A3">
        <w:t>as modeli</w:t>
      </w: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600"/>
        <w:gridCol w:w="1832"/>
        <w:gridCol w:w="1317"/>
        <w:gridCol w:w="1409"/>
        <w:gridCol w:w="3138"/>
      </w:tblGrid>
      <w:tr w:rsidR="00895D57" w:rsidRPr="00E436A3" w14:paraId="2308B404" w14:textId="77777777" w:rsidTr="00C14937">
        <w:trPr>
          <w:trHeight w:val="889"/>
        </w:trPr>
        <w:tc>
          <w:tcPr>
            <w:tcW w:w="600" w:type="dxa"/>
          </w:tcPr>
          <w:p w14:paraId="1FB41714" w14:textId="29C7063F" w:rsidR="00895D57" w:rsidRPr="00E436A3" w:rsidRDefault="00895D57" w:rsidP="00895D5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AA59CE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r.</w:t>
            </w:r>
          </w:p>
        </w:tc>
        <w:tc>
          <w:tcPr>
            <w:tcW w:w="1832" w:type="dxa"/>
            <w:hideMark/>
          </w:tcPr>
          <w:p w14:paraId="5AE6130F" w14:textId="1063AB35" w:rsidR="00895D57" w:rsidRPr="00E436A3" w:rsidRDefault="00895D57" w:rsidP="00895D5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>Novads</w:t>
            </w:r>
          </w:p>
        </w:tc>
        <w:tc>
          <w:tcPr>
            <w:tcW w:w="1317" w:type="dxa"/>
            <w:hideMark/>
          </w:tcPr>
          <w:p w14:paraId="47761A83" w14:textId="0BEADE50" w:rsidR="00895D57" w:rsidRPr="00E436A3" w:rsidRDefault="00895D57" w:rsidP="00895D5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>Iedzīvotāju skaits</w:t>
            </w:r>
          </w:p>
        </w:tc>
        <w:tc>
          <w:tcPr>
            <w:tcW w:w="1409" w:type="dxa"/>
            <w:hideMark/>
          </w:tcPr>
          <w:p w14:paraId="18E3FB4B" w14:textId="03229FCE" w:rsidR="00895D57" w:rsidRPr="00E436A3" w:rsidRDefault="00895D57" w:rsidP="00895D5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>Respondentu skaits (*)</w:t>
            </w:r>
          </w:p>
        </w:tc>
        <w:tc>
          <w:tcPr>
            <w:tcW w:w="3138" w:type="dxa"/>
            <w:hideMark/>
          </w:tcPr>
          <w:p w14:paraId="7D2C2EB4" w14:textId="51312696" w:rsidR="00895D57" w:rsidRPr="00E436A3" w:rsidRDefault="00895D57" w:rsidP="00895D57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 xml:space="preserve">Balsu skaits procentos par </w:t>
            </w:r>
            <w:r w:rsidR="009274C7" w:rsidRPr="00E436A3">
              <w:rPr>
                <w:rFonts w:cstheme="minorHAnsi"/>
                <w:lang w:val="lv-LV"/>
              </w:rPr>
              <w:t>pašreizējās</w:t>
            </w:r>
            <w:r w:rsidRPr="00E436A3">
              <w:rPr>
                <w:rFonts w:cstheme="minorHAnsi"/>
                <w:lang w:val="lv-LV"/>
              </w:rPr>
              <w:t xml:space="preserve"> administratīvās teritorijas saglabāšanu*</w:t>
            </w:r>
          </w:p>
        </w:tc>
      </w:tr>
      <w:tr w:rsidR="00895D57" w:rsidRPr="00E436A3" w14:paraId="6EE47D03" w14:textId="77777777" w:rsidTr="00C14937">
        <w:tc>
          <w:tcPr>
            <w:tcW w:w="600" w:type="dxa"/>
            <w:hideMark/>
          </w:tcPr>
          <w:p w14:paraId="1FEEC46A" w14:textId="1DFBEBAB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25F1CA8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Aglona</w:t>
            </w:r>
          </w:p>
        </w:tc>
        <w:tc>
          <w:tcPr>
            <w:tcW w:w="1317" w:type="dxa"/>
            <w:hideMark/>
          </w:tcPr>
          <w:p w14:paraId="47F2B95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3470</w:t>
            </w:r>
          </w:p>
        </w:tc>
        <w:tc>
          <w:tcPr>
            <w:tcW w:w="1409" w:type="dxa"/>
          </w:tcPr>
          <w:p w14:paraId="45BC14F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38" w:type="dxa"/>
            <w:hideMark/>
          </w:tcPr>
          <w:p w14:paraId="5B7D3EF1" w14:textId="136DD79E" w:rsidR="00895D57" w:rsidRPr="00E436A3" w:rsidRDefault="004F6DA5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Aptauja nav pabeigta</w:t>
            </w:r>
          </w:p>
        </w:tc>
      </w:tr>
      <w:tr w:rsidR="00895D57" w:rsidRPr="00E436A3" w14:paraId="1A347D7B" w14:textId="77777777" w:rsidTr="00C14937">
        <w:tc>
          <w:tcPr>
            <w:tcW w:w="600" w:type="dxa"/>
            <w:hideMark/>
          </w:tcPr>
          <w:p w14:paraId="4E9CD7A5" w14:textId="648CCE9E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7209C30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Aizpute</w:t>
            </w:r>
          </w:p>
        </w:tc>
        <w:tc>
          <w:tcPr>
            <w:tcW w:w="1317" w:type="dxa"/>
            <w:hideMark/>
          </w:tcPr>
          <w:p w14:paraId="7B8B1D6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8726</w:t>
            </w:r>
          </w:p>
        </w:tc>
        <w:tc>
          <w:tcPr>
            <w:tcW w:w="1409" w:type="dxa"/>
            <w:hideMark/>
          </w:tcPr>
          <w:p w14:paraId="22F41E6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409</w:t>
            </w:r>
          </w:p>
        </w:tc>
        <w:tc>
          <w:tcPr>
            <w:tcW w:w="3138" w:type="dxa"/>
            <w:hideMark/>
          </w:tcPr>
          <w:p w14:paraId="0A3E7C55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54,3</w:t>
            </w:r>
          </w:p>
        </w:tc>
      </w:tr>
      <w:tr w:rsidR="00895D57" w:rsidRPr="00E436A3" w14:paraId="357B5F73" w14:textId="77777777" w:rsidTr="00C14937">
        <w:tc>
          <w:tcPr>
            <w:tcW w:w="600" w:type="dxa"/>
            <w:hideMark/>
          </w:tcPr>
          <w:p w14:paraId="6ABE9ECA" w14:textId="08DF78E4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2DDE93A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Alsunga</w:t>
            </w:r>
          </w:p>
        </w:tc>
        <w:tc>
          <w:tcPr>
            <w:tcW w:w="1317" w:type="dxa"/>
            <w:hideMark/>
          </w:tcPr>
          <w:p w14:paraId="4ED4746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1392</w:t>
            </w:r>
          </w:p>
        </w:tc>
        <w:tc>
          <w:tcPr>
            <w:tcW w:w="1409" w:type="dxa"/>
            <w:hideMark/>
          </w:tcPr>
          <w:p w14:paraId="4783108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238</w:t>
            </w:r>
          </w:p>
        </w:tc>
        <w:tc>
          <w:tcPr>
            <w:tcW w:w="3138" w:type="dxa"/>
            <w:hideMark/>
          </w:tcPr>
          <w:p w14:paraId="0A1DD4D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92,4</w:t>
            </w:r>
          </w:p>
        </w:tc>
      </w:tr>
      <w:tr w:rsidR="00895D57" w:rsidRPr="00E436A3" w14:paraId="4BEB2466" w14:textId="77777777" w:rsidTr="00C14937">
        <w:tc>
          <w:tcPr>
            <w:tcW w:w="600" w:type="dxa"/>
            <w:hideMark/>
          </w:tcPr>
          <w:p w14:paraId="590997B7" w14:textId="002D6F1D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00E389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Auce</w:t>
            </w:r>
          </w:p>
        </w:tc>
        <w:tc>
          <w:tcPr>
            <w:tcW w:w="1317" w:type="dxa"/>
            <w:hideMark/>
          </w:tcPr>
          <w:p w14:paraId="1C9F103E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6980</w:t>
            </w:r>
          </w:p>
        </w:tc>
        <w:tc>
          <w:tcPr>
            <w:tcW w:w="1409" w:type="dxa"/>
            <w:hideMark/>
          </w:tcPr>
          <w:p w14:paraId="1D3EE44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712</w:t>
            </w:r>
          </w:p>
        </w:tc>
        <w:tc>
          <w:tcPr>
            <w:tcW w:w="3138" w:type="dxa"/>
            <w:hideMark/>
          </w:tcPr>
          <w:p w14:paraId="10C7614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98</w:t>
            </w:r>
          </w:p>
        </w:tc>
      </w:tr>
      <w:tr w:rsidR="00895D57" w:rsidRPr="00E436A3" w14:paraId="3220EC61" w14:textId="77777777" w:rsidTr="00C14937">
        <w:tc>
          <w:tcPr>
            <w:tcW w:w="600" w:type="dxa"/>
            <w:hideMark/>
          </w:tcPr>
          <w:p w14:paraId="16E04DD3" w14:textId="6A0C6C6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3616594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Baldone</w:t>
            </w:r>
          </w:p>
        </w:tc>
        <w:tc>
          <w:tcPr>
            <w:tcW w:w="1317" w:type="dxa"/>
            <w:hideMark/>
          </w:tcPr>
          <w:p w14:paraId="126C4A3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5773</w:t>
            </w:r>
          </w:p>
        </w:tc>
        <w:tc>
          <w:tcPr>
            <w:tcW w:w="1409" w:type="dxa"/>
            <w:hideMark/>
          </w:tcPr>
          <w:p w14:paraId="5F68141E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856</w:t>
            </w:r>
          </w:p>
        </w:tc>
        <w:tc>
          <w:tcPr>
            <w:tcW w:w="3138" w:type="dxa"/>
            <w:hideMark/>
          </w:tcPr>
          <w:p w14:paraId="36D8B19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85,9</w:t>
            </w:r>
          </w:p>
        </w:tc>
      </w:tr>
      <w:tr w:rsidR="00895D57" w:rsidRPr="00E436A3" w14:paraId="58992488" w14:textId="77777777" w:rsidTr="00C14937">
        <w:tc>
          <w:tcPr>
            <w:tcW w:w="600" w:type="dxa"/>
            <w:hideMark/>
          </w:tcPr>
          <w:p w14:paraId="341923E0" w14:textId="79A8509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43820BA9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Baltinava</w:t>
            </w:r>
          </w:p>
        </w:tc>
        <w:tc>
          <w:tcPr>
            <w:tcW w:w="1317" w:type="dxa"/>
            <w:hideMark/>
          </w:tcPr>
          <w:p w14:paraId="6F06309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1061</w:t>
            </w:r>
          </w:p>
        </w:tc>
        <w:tc>
          <w:tcPr>
            <w:tcW w:w="1409" w:type="dxa"/>
            <w:hideMark/>
          </w:tcPr>
          <w:p w14:paraId="5B8283F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269</w:t>
            </w:r>
          </w:p>
        </w:tc>
        <w:tc>
          <w:tcPr>
            <w:tcW w:w="3138" w:type="dxa"/>
            <w:hideMark/>
          </w:tcPr>
          <w:p w14:paraId="390D91A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94</w:t>
            </w:r>
          </w:p>
        </w:tc>
      </w:tr>
      <w:tr w:rsidR="00895D57" w:rsidRPr="00E436A3" w14:paraId="1DC5E18D" w14:textId="77777777" w:rsidTr="00C14937">
        <w:tc>
          <w:tcPr>
            <w:tcW w:w="600" w:type="dxa"/>
            <w:hideMark/>
          </w:tcPr>
          <w:p w14:paraId="061B5B16" w14:textId="4929760B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282212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Brocēni</w:t>
            </w:r>
          </w:p>
        </w:tc>
        <w:tc>
          <w:tcPr>
            <w:tcW w:w="1317" w:type="dxa"/>
            <w:hideMark/>
          </w:tcPr>
          <w:p w14:paraId="353DA31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6264</w:t>
            </w:r>
          </w:p>
        </w:tc>
        <w:tc>
          <w:tcPr>
            <w:tcW w:w="1409" w:type="dxa"/>
            <w:hideMark/>
          </w:tcPr>
          <w:p w14:paraId="18A57FD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1807</w:t>
            </w:r>
          </w:p>
        </w:tc>
        <w:tc>
          <w:tcPr>
            <w:tcW w:w="3138" w:type="dxa"/>
            <w:hideMark/>
          </w:tcPr>
          <w:p w14:paraId="2027466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97</w:t>
            </w:r>
          </w:p>
        </w:tc>
      </w:tr>
      <w:tr w:rsidR="00895D57" w:rsidRPr="00E436A3" w14:paraId="7564AAB1" w14:textId="77777777" w:rsidTr="00C14937">
        <w:tc>
          <w:tcPr>
            <w:tcW w:w="600" w:type="dxa"/>
            <w:hideMark/>
          </w:tcPr>
          <w:p w14:paraId="4B6A8DCD" w14:textId="56A26A1F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51CED86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Carnikava</w:t>
            </w:r>
          </w:p>
        </w:tc>
        <w:tc>
          <w:tcPr>
            <w:tcW w:w="1317" w:type="dxa"/>
            <w:hideMark/>
          </w:tcPr>
          <w:p w14:paraId="0751971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9359</w:t>
            </w:r>
          </w:p>
        </w:tc>
        <w:tc>
          <w:tcPr>
            <w:tcW w:w="1409" w:type="dxa"/>
            <w:hideMark/>
          </w:tcPr>
          <w:p w14:paraId="601EA18D" w14:textId="2FCE1735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1082</w:t>
            </w:r>
          </w:p>
          <w:p w14:paraId="122887A6" w14:textId="726C1D3F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AA59CE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derīgi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E436A3">
              <w:rPr>
                <w:rFonts w:ascii="Times New Roman" w:hAnsi="Times New Roman"/>
                <w:sz w:val="24"/>
                <w:szCs w:val="24"/>
                <w:lang w:val="lv-LV" w:eastAsia="lv-LV"/>
              </w:rPr>
              <w:t>897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138" w:type="dxa"/>
            <w:hideMark/>
          </w:tcPr>
          <w:p w14:paraId="37E8B496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84,62</w:t>
            </w:r>
          </w:p>
        </w:tc>
      </w:tr>
      <w:tr w:rsidR="00895D57" w:rsidRPr="00E436A3" w14:paraId="7A70975F" w14:textId="77777777" w:rsidTr="00C14937">
        <w:tc>
          <w:tcPr>
            <w:tcW w:w="600" w:type="dxa"/>
            <w:hideMark/>
          </w:tcPr>
          <w:p w14:paraId="31F53E17" w14:textId="105D0DF8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285BC08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Durbe</w:t>
            </w:r>
          </w:p>
        </w:tc>
        <w:tc>
          <w:tcPr>
            <w:tcW w:w="1317" w:type="dxa"/>
            <w:hideMark/>
          </w:tcPr>
          <w:p w14:paraId="62F5385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2848</w:t>
            </w:r>
          </w:p>
        </w:tc>
        <w:tc>
          <w:tcPr>
            <w:tcW w:w="1409" w:type="dxa"/>
            <w:hideMark/>
          </w:tcPr>
          <w:p w14:paraId="747FE1EF" w14:textId="236DFCED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525</w:t>
            </w:r>
          </w:p>
          <w:p w14:paraId="690B76B9" w14:textId="26318389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455D8F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derīgi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524)</w:t>
            </w:r>
          </w:p>
        </w:tc>
        <w:tc>
          <w:tcPr>
            <w:tcW w:w="3138" w:type="dxa"/>
            <w:hideMark/>
          </w:tcPr>
          <w:p w14:paraId="77D67C6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77</w:t>
            </w:r>
          </w:p>
        </w:tc>
      </w:tr>
      <w:tr w:rsidR="00895D57" w:rsidRPr="00E436A3" w14:paraId="762630E1" w14:textId="77777777" w:rsidTr="00C14937">
        <w:tc>
          <w:tcPr>
            <w:tcW w:w="600" w:type="dxa"/>
            <w:hideMark/>
          </w:tcPr>
          <w:p w14:paraId="4C6C0AD3" w14:textId="5CEDA208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7E82F7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Iecava</w:t>
            </w:r>
          </w:p>
        </w:tc>
        <w:tc>
          <w:tcPr>
            <w:tcW w:w="1317" w:type="dxa"/>
            <w:hideMark/>
          </w:tcPr>
          <w:p w14:paraId="5172013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8993</w:t>
            </w:r>
          </w:p>
        </w:tc>
        <w:tc>
          <w:tcPr>
            <w:tcW w:w="1409" w:type="dxa"/>
            <w:hideMark/>
          </w:tcPr>
          <w:p w14:paraId="1DA6313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1293</w:t>
            </w:r>
          </w:p>
        </w:tc>
        <w:tc>
          <w:tcPr>
            <w:tcW w:w="3138" w:type="dxa"/>
            <w:hideMark/>
          </w:tcPr>
          <w:p w14:paraId="0BB9E8D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97</w:t>
            </w:r>
          </w:p>
        </w:tc>
      </w:tr>
      <w:tr w:rsidR="00895D57" w:rsidRPr="00E436A3" w14:paraId="0636CAFA" w14:textId="77777777" w:rsidTr="00C14937">
        <w:tc>
          <w:tcPr>
            <w:tcW w:w="600" w:type="dxa"/>
            <w:hideMark/>
          </w:tcPr>
          <w:p w14:paraId="322E3175" w14:textId="4D8CD8C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312C29F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Ikšķile</w:t>
            </w:r>
          </w:p>
        </w:tc>
        <w:tc>
          <w:tcPr>
            <w:tcW w:w="1317" w:type="dxa"/>
            <w:hideMark/>
          </w:tcPr>
          <w:p w14:paraId="06521DF5" w14:textId="4158B9A1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090</w:t>
            </w:r>
          </w:p>
        </w:tc>
        <w:tc>
          <w:tcPr>
            <w:tcW w:w="1409" w:type="dxa"/>
            <w:hideMark/>
          </w:tcPr>
          <w:p w14:paraId="1753E8D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3299</w:t>
            </w:r>
          </w:p>
        </w:tc>
        <w:tc>
          <w:tcPr>
            <w:tcW w:w="3138" w:type="dxa"/>
            <w:hideMark/>
          </w:tcPr>
          <w:p w14:paraId="091859B9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99</w:t>
            </w:r>
          </w:p>
        </w:tc>
      </w:tr>
      <w:tr w:rsidR="00895D57" w:rsidRPr="00E436A3" w14:paraId="6814EF94" w14:textId="77777777" w:rsidTr="00C14937">
        <w:tc>
          <w:tcPr>
            <w:tcW w:w="600" w:type="dxa"/>
            <w:hideMark/>
          </w:tcPr>
          <w:p w14:paraId="7F159835" w14:textId="2F652B7A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12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7A7D1CB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Ilūkste</w:t>
            </w:r>
          </w:p>
        </w:tc>
        <w:tc>
          <w:tcPr>
            <w:tcW w:w="1317" w:type="dxa"/>
            <w:hideMark/>
          </w:tcPr>
          <w:p w14:paraId="2CC3953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7274</w:t>
            </w:r>
          </w:p>
        </w:tc>
        <w:tc>
          <w:tcPr>
            <w:tcW w:w="1409" w:type="dxa"/>
            <w:hideMark/>
          </w:tcPr>
          <w:p w14:paraId="66410945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2509</w:t>
            </w:r>
          </w:p>
        </w:tc>
        <w:tc>
          <w:tcPr>
            <w:tcW w:w="3138" w:type="dxa"/>
            <w:hideMark/>
          </w:tcPr>
          <w:p w14:paraId="680D7A2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99</w:t>
            </w:r>
          </w:p>
        </w:tc>
      </w:tr>
      <w:tr w:rsidR="00895D57" w:rsidRPr="00E436A3" w14:paraId="5CEAF20D" w14:textId="77777777" w:rsidTr="00C14937">
        <w:tc>
          <w:tcPr>
            <w:tcW w:w="600" w:type="dxa"/>
            <w:hideMark/>
          </w:tcPr>
          <w:p w14:paraId="0637FBCD" w14:textId="5741B159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2CC3A4B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Inčukalns</w:t>
            </w:r>
          </w:p>
        </w:tc>
        <w:tc>
          <w:tcPr>
            <w:tcW w:w="1317" w:type="dxa"/>
            <w:hideMark/>
          </w:tcPr>
          <w:p w14:paraId="6891DD2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8216</w:t>
            </w:r>
          </w:p>
        </w:tc>
        <w:tc>
          <w:tcPr>
            <w:tcW w:w="1409" w:type="dxa"/>
            <w:hideMark/>
          </w:tcPr>
          <w:p w14:paraId="3EDD627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456</w:t>
            </w:r>
          </w:p>
        </w:tc>
        <w:tc>
          <w:tcPr>
            <w:tcW w:w="3138" w:type="dxa"/>
            <w:hideMark/>
          </w:tcPr>
          <w:p w14:paraId="4E16D4B5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82</w:t>
            </w:r>
          </w:p>
        </w:tc>
      </w:tr>
      <w:tr w:rsidR="00895D57" w:rsidRPr="00E436A3" w14:paraId="024DB44F" w14:textId="77777777" w:rsidTr="00C14937">
        <w:tc>
          <w:tcPr>
            <w:tcW w:w="600" w:type="dxa"/>
            <w:hideMark/>
          </w:tcPr>
          <w:p w14:paraId="3C54D5CF" w14:textId="0E3D8ED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14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1D9B2E0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Jaunjelgava</w:t>
            </w:r>
          </w:p>
        </w:tc>
        <w:tc>
          <w:tcPr>
            <w:tcW w:w="1317" w:type="dxa"/>
            <w:hideMark/>
          </w:tcPr>
          <w:p w14:paraId="6542B05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5620</w:t>
            </w:r>
          </w:p>
        </w:tc>
        <w:tc>
          <w:tcPr>
            <w:tcW w:w="1409" w:type="dxa"/>
          </w:tcPr>
          <w:p w14:paraId="4A73F0F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38" w:type="dxa"/>
            <w:hideMark/>
          </w:tcPr>
          <w:p w14:paraId="5CF01B21" w14:textId="2E08B840" w:rsidR="00895D57" w:rsidRPr="00E436A3" w:rsidRDefault="004F6DA5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Vēl nav rezultātu</w:t>
            </w:r>
          </w:p>
        </w:tc>
      </w:tr>
      <w:tr w:rsidR="00895D57" w:rsidRPr="00E436A3" w14:paraId="3F708975" w14:textId="77777777" w:rsidTr="00C14937">
        <w:tc>
          <w:tcPr>
            <w:tcW w:w="600" w:type="dxa"/>
            <w:hideMark/>
          </w:tcPr>
          <w:p w14:paraId="7A0ADCB7" w14:textId="6A9E3422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15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0DC2442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Jelgava</w:t>
            </w:r>
          </w:p>
        </w:tc>
        <w:tc>
          <w:tcPr>
            <w:tcW w:w="1317" w:type="dxa"/>
            <w:hideMark/>
          </w:tcPr>
          <w:p w14:paraId="70BD7DAF" w14:textId="5242EE9E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23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706</w:t>
            </w:r>
          </w:p>
        </w:tc>
        <w:tc>
          <w:tcPr>
            <w:tcW w:w="1409" w:type="dxa"/>
          </w:tcPr>
          <w:p w14:paraId="308B838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38" w:type="dxa"/>
            <w:hideMark/>
          </w:tcPr>
          <w:p w14:paraId="7341D40A" w14:textId="548FF6A9" w:rsidR="00895D57" w:rsidRPr="00E436A3" w:rsidRDefault="004F6DA5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>Aptauja tika apturēta ar ministra rīkojumu</w:t>
            </w:r>
            <w:r w:rsidR="00455D8F" w:rsidRPr="00E436A3">
              <w:rPr>
                <w:rFonts w:cstheme="minorHAnsi"/>
                <w:lang w:val="lv-LV"/>
              </w:rPr>
              <w:t>;</w:t>
            </w:r>
            <w:r w:rsidRPr="00E436A3">
              <w:rPr>
                <w:rFonts w:cstheme="minorHAnsi"/>
                <w:lang w:val="lv-LV"/>
              </w:rPr>
              <w:t xml:space="preserve"> pašvaldības iesniegums Satversmes tiesā</w:t>
            </w:r>
          </w:p>
        </w:tc>
      </w:tr>
      <w:tr w:rsidR="00895D57" w:rsidRPr="00E436A3" w14:paraId="6EFC998A" w14:textId="77777777" w:rsidTr="00C14937">
        <w:tc>
          <w:tcPr>
            <w:tcW w:w="600" w:type="dxa"/>
            <w:hideMark/>
          </w:tcPr>
          <w:p w14:paraId="5B5610DD" w14:textId="6CC8FD4F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0FD1D37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Kandava</w:t>
            </w:r>
          </w:p>
        </w:tc>
        <w:tc>
          <w:tcPr>
            <w:tcW w:w="1317" w:type="dxa"/>
            <w:hideMark/>
          </w:tcPr>
          <w:p w14:paraId="7FA951C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8265</w:t>
            </w:r>
          </w:p>
        </w:tc>
        <w:tc>
          <w:tcPr>
            <w:tcW w:w="1409" w:type="dxa"/>
            <w:hideMark/>
          </w:tcPr>
          <w:p w14:paraId="1DB2C37E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348</w:t>
            </w:r>
          </w:p>
        </w:tc>
        <w:tc>
          <w:tcPr>
            <w:tcW w:w="3138" w:type="dxa"/>
            <w:hideMark/>
          </w:tcPr>
          <w:p w14:paraId="6E0272D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83</w:t>
            </w:r>
          </w:p>
        </w:tc>
      </w:tr>
      <w:tr w:rsidR="00895D57" w:rsidRPr="00E436A3" w14:paraId="67A7ED45" w14:textId="77777777" w:rsidTr="00C14937">
        <w:tc>
          <w:tcPr>
            <w:tcW w:w="600" w:type="dxa"/>
            <w:hideMark/>
          </w:tcPr>
          <w:p w14:paraId="6B9B31A6" w14:textId="75AABEB3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17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3BCCAA8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Koknese</w:t>
            </w:r>
          </w:p>
        </w:tc>
        <w:tc>
          <w:tcPr>
            <w:tcW w:w="1317" w:type="dxa"/>
            <w:hideMark/>
          </w:tcPr>
          <w:p w14:paraId="35B62B26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5383 </w:t>
            </w:r>
          </w:p>
        </w:tc>
        <w:tc>
          <w:tcPr>
            <w:tcW w:w="1409" w:type="dxa"/>
            <w:hideMark/>
          </w:tcPr>
          <w:p w14:paraId="28A2163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214</w:t>
            </w:r>
          </w:p>
        </w:tc>
        <w:tc>
          <w:tcPr>
            <w:tcW w:w="3138" w:type="dxa"/>
            <w:hideMark/>
          </w:tcPr>
          <w:p w14:paraId="6D3A10E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90</w:t>
            </w:r>
          </w:p>
        </w:tc>
      </w:tr>
      <w:tr w:rsidR="00895D57" w:rsidRPr="00E436A3" w14:paraId="234EBF64" w14:textId="77777777" w:rsidTr="00C14937">
        <w:tc>
          <w:tcPr>
            <w:tcW w:w="600" w:type="dxa"/>
            <w:hideMark/>
          </w:tcPr>
          <w:p w14:paraId="30467178" w14:textId="3262D4B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18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197BD6A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Lielvārde </w:t>
            </w:r>
          </w:p>
        </w:tc>
        <w:tc>
          <w:tcPr>
            <w:tcW w:w="1317" w:type="dxa"/>
            <w:hideMark/>
          </w:tcPr>
          <w:p w14:paraId="3EE7424D" w14:textId="148805F1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330</w:t>
            </w:r>
          </w:p>
        </w:tc>
        <w:tc>
          <w:tcPr>
            <w:tcW w:w="1409" w:type="dxa"/>
          </w:tcPr>
          <w:p w14:paraId="48E7583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38" w:type="dxa"/>
            <w:hideMark/>
          </w:tcPr>
          <w:p w14:paraId="6E2F2FEE" w14:textId="01E22870" w:rsidR="00895D57" w:rsidRPr="00E436A3" w:rsidRDefault="00F8030A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Vēl nav rezultātu</w:t>
            </w:r>
          </w:p>
        </w:tc>
      </w:tr>
      <w:tr w:rsidR="00895D57" w:rsidRPr="00E436A3" w14:paraId="27E2C0FA" w14:textId="77777777" w:rsidTr="00C14937">
        <w:tc>
          <w:tcPr>
            <w:tcW w:w="600" w:type="dxa"/>
            <w:hideMark/>
          </w:tcPr>
          <w:p w14:paraId="1F11119B" w14:textId="03D62F7B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CDD3C9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Mālpils</w:t>
            </w:r>
          </w:p>
        </w:tc>
        <w:tc>
          <w:tcPr>
            <w:tcW w:w="1317" w:type="dxa"/>
            <w:hideMark/>
          </w:tcPr>
          <w:p w14:paraId="7E69C85D" w14:textId="31F68DB5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3542</w:t>
            </w:r>
          </w:p>
        </w:tc>
        <w:tc>
          <w:tcPr>
            <w:tcW w:w="1409" w:type="dxa"/>
            <w:hideMark/>
          </w:tcPr>
          <w:p w14:paraId="3B38867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226</w:t>
            </w:r>
          </w:p>
        </w:tc>
        <w:tc>
          <w:tcPr>
            <w:tcW w:w="3138" w:type="dxa"/>
            <w:hideMark/>
          </w:tcPr>
          <w:p w14:paraId="028AF4E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78</w:t>
            </w:r>
          </w:p>
        </w:tc>
      </w:tr>
      <w:tr w:rsidR="00895D57" w:rsidRPr="00E436A3" w14:paraId="5FDCB90C" w14:textId="77777777" w:rsidTr="00C14937">
        <w:tc>
          <w:tcPr>
            <w:tcW w:w="600" w:type="dxa"/>
            <w:hideMark/>
          </w:tcPr>
          <w:p w14:paraId="4111F5FD" w14:textId="4AE83AEE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916BA1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Mazsalaca</w:t>
            </w:r>
          </w:p>
        </w:tc>
        <w:tc>
          <w:tcPr>
            <w:tcW w:w="1317" w:type="dxa"/>
            <w:hideMark/>
          </w:tcPr>
          <w:p w14:paraId="27EE9DC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3194</w:t>
            </w:r>
          </w:p>
        </w:tc>
        <w:tc>
          <w:tcPr>
            <w:tcW w:w="1409" w:type="dxa"/>
            <w:hideMark/>
          </w:tcPr>
          <w:p w14:paraId="08280B2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226</w:t>
            </w:r>
          </w:p>
        </w:tc>
        <w:tc>
          <w:tcPr>
            <w:tcW w:w="3138" w:type="dxa"/>
            <w:hideMark/>
          </w:tcPr>
          <w:p w14:paraId="0340969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83</w:t>
            </w:r>
          </w:p>
        </w:tc>
      </w:tr>
      <w:tr w:rsidR="00895D57" w:rsidRPr="00E436A3" w14:paraId="5A233362" w14:textId="77777777" w:rsidTr="00C14937">
        <w:tc>
          <w:tcPr>
            <w:tcW w:w="600" w:type="dxa"/>
            <w:hideMark/>
          </w:tcPr>
          <w:p w14:paraId="31B3FE0B" w14:textId="4A298D9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21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125C01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Naukšēni</w:t>
            </w:r>
          </w:p>
        </w:tc>
        <w:tc>
          <w:tcPr>
            <w:tcW w:w="1317" w:type="dxa"/>
            <w:hideMark/>
          </w:tcPr>
          <w:p w14:paraId="00461E6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1837</w:t>
            </w:r>
          </w:p>
        </w:tc>
        <w:tc>
          <w:tcPr>
            <w:tcW w:w="1409" w:type="dxa"/>
            <w:hideMark/>
          </w:tcPr>
          <w:p w14:paraId="1D08065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198</w:t>
            </w:r>
          </w:p>
        </w:tc>
        <w:tc>
          <w:tcPr>
            <w:tcW w:w="3138" w:type="dxa"/>
            <w:hideMark/>
          </w:tcPr>
          <w:p w14:paraId="57E7292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82</w:t>
            </w:r>
          </w:p>
        </w:tc>
      </w:tr>
      <w:tr w:rsidR="00895D57" w:rsidRPr="00E436A3" w14:paraId="0619E9CC" w14:textId="77777777" w:rsidTr="00C14937">
        <w:tc>
          <w:tcPr>
            <w:tcW w:w="600" w:type="dxa"/>
            <w:hideMark/>
          </w:tcPr>
          <w:p w14:paraId="13770B80" w14:textId="372A68A6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22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5900D94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Nereta</w:t>
            </w:r>
          </w:p>
        </w:tc>
        <w:tc>
          <w:tcPr>
            <w:tcW w:w="1317" w:type="dxa"/>
            <w:hideMark/>
          </w:tcPr>
          <w:p w14:paraId="109B95D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3544</w:t>
            </w:r>
          </w:p>
        </w:tc>
        <w:tc>
          <w:tcPr>
            <w:tcW w:w="1409" w:type="dxa"/>
            <w:hideMark/>
          </w:tcPr>
          <w:p w14:paraId="3BCF286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246</w:t>
            </w:r>
          </w:p>
        </w:tc>
        <w:tc>
          <w:tcPr>
            <w:tcW w:w="3138" w:type="dxa"/>
            <w:hideMark/>
          </w:tcPr>
          <w:p w14:paraId="154EAB9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</w:p>
        </w:tc>
      </w:tr>
      <w:tr w:rsidR="00895D57" w:rsidRPr="00E436A3" w14:paraId="38540FBE" w14:textId="77777777" w:rsidTr="00C14937">
        <w:tc>
          <w:tcPr>
            <w:tcW w:w="600" w:type="dxa"/>
            <w:hideMark/>
          </w:tcPr>
          <w:p w14:paraId="2B2AE917" w14:textId="70FD6D03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23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283CD0C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Ozolnieki</w:t>
            </w:r>
          </w:p>
        </w:tc>
        <w:tc>
          <w:tcPr>
            <w:tcW w:w="1317" w:type="dxa"/>
            <w:hideMark/>
          </w:tcPr>
          <w:p w14:paraId="402134D6" w14:textId="454BFB95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705</w:t>
            </w:r>
          </w:p>
        </w:tc>
        <w:tc>
          <w:tcPr>
            <w:tcW w:w="1409" w:type="dxa"/>
            <w:hideMark/>
          </w:tcPr>
          <w:p w14:paraId="54F4BC79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882</w:t>
            </w:r>
          </w:p>
        </w:tc>
        <w:tc>
          <w:tcPr>
            <w:tcW w:w="3138" w:type="dxa"/>
            <w:hideMark/>
          </w:tcPr>
          <w:p w14:paraId="4BEF59C7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95</w:t>
            </w:r>
          </w:p>
        </w:tc>
      </w:tr>
      <w:tr w:rsidR="00895D57" w:rsidRPr="00E436A3" w14:paraId="151E7B34" w14:textId="77777777" w:rsidTr="00C14937">
        <w:tc>
          <w:tcPr>
            <w:tcW w:w="600" w:type="dxa"/>
            <w:hideMark/>
          </w:tcPr>
          <w:p w14:paraId="0BECCDCF" w14:textId="0EFF67C3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24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16A0334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Rauna</w:t>
            </w:r>
          </w:p>
        </w:tc>
        <w:tc>
          <w:tcPr>
            <w:tcW w:w="1317" w:type="dxa"/>
            <w:hideMark/>
          </w:tcPr>
          <w:p w14:paraId="1ADAE8CE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3196</w:t>
            </w:r>
          </w:p>
        </w:tc>
        <w:tc>
          <w:tcPr>
            <w:tcW w:w="1409" w:type="dxa"/>
            <w:hideMark/>
          </w:tcPr>
          <w:p w14:paraId="5B21F669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437</w:t>
            </w:r>
          </w:p>
        </w:tc>
        <w:tc>
          <w:tcPr>
            <w:tcW w:w="3138" w:type="dxa"/>
            <w:hideMark/>
          </w:tcPr>
          <w:p w14:paraId="40F6F03D" w14:textId="5A0AD160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52 – </w:t>
            </w:r>
            <w:r w:rsidR="00F8030A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par apvienošanos ar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Cēsu </w:t>
            </w:r>
            <w:r w:rsidR="00F8030A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nova</w:t>
            </w:r>
            <w:r w:rsidR="00A45538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du</w:t>
            </w:r>
          </w:p>
          <w:p w14:paraId="5C6B22AF" w14:textId="5AA72A33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48 – </w:t>
            </w:r>
            <w:r w:rsidR="00A45538"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 apvienošanos ar 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Smiltene</w:t>
            </w:r>
            <w:r w:rsidR="00455D8F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A45538" w:rsidRPr="00E436A3">
              <w:rPr>
                <w:rFonts w:ascii="Times New Roman" w:hAnsi="Times New Roman"/>
                <w:sz w:val="24"/>
                <w:szCs w:val="24"/>
                <w:lang w:val="lv-LV"/>
              </w:rPr>
              <w:t>novadu</w:t>
            </w:r>
          </w:p>
        </w:tc>
      </w:tr>
      <w:tr w:rsidR="00895D57" w:rsidRPr="00E436A3" w14:paraId="3BADF405" w14:textId="77777777" w:rsidTr="00C14937">
        <w:tc>
          <w:tcPr>
            <w:tcW w:w="600" w:type="dxa"/>
            <w:hideMark/>
          </w:tcPr>
          <w:p w14:paraId="4D693562" w14:textId="773C5524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25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5831D2F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Rundāle</w:t>
            </w:r>
          </w:p>
        </w:tc>
        <w:tc>
          <w:tcPr>
            <w:tcW w:w="1317" w:type="dxa"/>
            <w:hideMark/>
          </w:tcPr>
          <w:p w14:paraId="0A77D3F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3691</w:t>
            </w:r>
          </w:p>
        </w:tc>
        <w:tc>
          <w:tcPr>
            <w:tcW w:w="1409" w:type="dxa"/>
            <w:hideMark/>
          </w:tcPr>
          <w:p w14:paraId="320C142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973</w:t>
            </w:r>
          </w:p>
        </w:tc>
        <w:tc>
          <w:tcPr>
            <w:tcW w:w="3138" w:type="dxa"/>
            <w:hideMark/>
          </w:tcPr>
          <w:p w14:paraId="146D2EE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96</w:t>
            </w:r>
          </w:p>
        </w:tc>
      </w:tr>
      <w:tr w:rsidR="00895D57" w:rsidRPr="00E436A3" w14:paraId="3B2E38E3" w14:textId="77777777" w:rsidTr="00C14937">
        <w:tc>
          <w:tcPr>
            <w:tcW w:w="600" w:type="dxa"/>
            <w:hideMark/>
          </w:tcPr>
          <w:p w14:paraId="1B7726F4" w14:textId="609B33D9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26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451E2EE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Rugāji </w:t>
            </w:r>
          </w:p>
        </w:tc>
        <w:tc>
          <w:tcPr>
            <w:tcW w:w="1317" w:type="dxa"/>
            <w:hideMark/>
          </w:tcPr>
          <w:p w14:paraId="31F9A8E9" w14:textId="6C0F2A76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2193</w:t>
            </w:r>
          </w:p>
        </w:tc>
        <w:tc>
          <w:tcPr>
            <w:tcW w:w="1409" w:type="dxa"/>
            <w:hideMark/>
          </w:tcPr>
          <w:p w14:paraId="51D1C27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336</w:t>
            </w:r>
          </w:p>
        </w:tc>
        <w:tc>
          <w:tcPr>
            <w:tcW w:w="3138" w:type="dxa"/>
            <w:hideMark/>
          </w:tcPr>
          <w:p w14:paraId="771D540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79</w:t>
            </w:r>
          </w:p>
        </w:tc>
      </w:tr>
      <w:tr w:rsidR="00895D57" w:rsidRPr="00E436A3" w14:paraId="10FF98D1" w14:textId="77777777" w:rsidTr="00C14937">
        <w:tc>
          <w:tcPr>
            <w:tcW w:w="600" w:type="dxa"/>
            <w:hideMark/>
          </w:tcPr>
          <w:p w14:paraId="77491EEC" w14:textId="3D20E9B8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4B34485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Salacgrīva</w:t>
            </w:r>
          </w:p>
        </w:tc>
        <w:tc>
          <w:tcPr>
            <w:tcW w:w="1317" w:type="dxa"/>
            <w:hideMark/>
          </w:tcPr>
          <w:p w14:paraId="2FC8B86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7801</w:t>
            </w:r>
          </w:p>
        </w:tc>
        <w:tc>
          <w:tcPr>
            <w:tcW w:w="1409" w:type="dxa"/>
          </w:tcPr>
          <w:p w14:paraId="42563B9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38" w:type="dxa"/>
            <w:hideMark/>
          </w:tcPr>
          <w:p w14:paraId="01395F09" w14:textId="4201D66B" w:rsidR="00895D57" w:rsidRPr="00E436A3" w:rsidRDefault="00A45538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Aptauja nav pabeigta</w:t>
            </w:r>
          </w:p>
        </w:tc>
      </w:tr>
      <w:tr w:rsidR="00895D57" w:rsidRPr="00E436A3" w14:paraId="40680FA1" w14:textId="77777777" w:rsidTr="00C14937">
        <w:tc>
          <w:tcPr>
            <w:tcW w:w="600" w:type="dxa"/>
            <w:hideMark/>
          </w:tcPr>
          <w:p w14:paraId="38963469" w14:textId="32B3022C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28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7565851C" w14:textId="1CDCE1DD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Sala</w:t>
            </w:r>
          </w:p>
        </w:tc>
        <w:tc>
          <w:tcPr>
            <w:tcW w:w="1317" w:type="dxa"/>
            <w:hideMark/>
          </w:tcPr>
          <w:p w14:paraId="52B066FA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3647</w:t>
            </w:r>
          </w:p>
        </w:tc>
        <w:tc>
          <w:tcPr>
            <w:tcW w:w="1409" w:type="dxa"/>
            <w:hideMark/>
          </w:tcPr>
          <w:p w14:paraId="546B5C8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584</w:t>
            </w:r>
          </w:p>
        </w:tc>
        <w:tc>
          <w:tcPr>
            <w:tcW w:w="3138" w:type="dxa"/>
            <w:hideMark/>
          </w:tcPr>
          <w:p w14:paraId="35CACEB0" w14:textId="6C5AF5BF" w:rsidR="00895D57" w:rsidRPr="00E436A3" w:rsidRDefault="004F6DA5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cstheme="minorHAnsi"/>
                <w:lang w:val="lv-LV"/>
              </w:rPr>
              <w:t xml:space="preserve">Savākti iedzīvotāju paraksti par </w:t>
            </w:r>
            <w:r w:rsidR="00455D8F" w:rsidRPr="00E436A3">
              <w:rPr>
                <w:rFonts w:cstheme="minorHAnsi"/>
                <w:lang w:val="lv-LV"/>
              </w:rPr>
              <w:t>pašreizējā</w:t>
            </w:r>
            <w:r w:rsidRPr="00E436A3">
              <w:rPr>
                <w:rFonts w:cstheme="minorHAnsi"/>
                <w:lang w:val="lv-LV"/>
              </w:rPr>
              <w:t xml:space="preserve"> novada saglabāšanu – parakstījušies 584 no 3647 iedzīvotājiem</w:t>
            </w:r>
          </w:p>
        </w:tc>
      </w:tr>
      <w:tr w:rsidR="00895D57" w:rsidRPr="00E436A3" w14:paraId="56541292" w14:textId="77777777" w:rsidTr="00C14937">
        <w:tc>
          <w:tcPr>
            <w:tcW w:w="600" w:type="dxa"/>
            <w:hideMark/>
          </w:tcPr>
          <w:p w14:paraId="732C5738" w14:textId="18673305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29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071B075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Skrunda</w:t>
            </w:r>
          </w:p>
        </w:tc>
        <w:tc>
          <w:tcPr>
            <w:tcW w:w="1317" w:type="dxa"/>
            <w:hideMark/>
          </w:tcPr>
          <w:p w14:paraId="32F5622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5003</w:t>
            </w:r>
          </w:p>
        </w:tc>
        <w:tc>
          <w:tcPr>
            <w:tcW w:w="1409" w:type="dxa"/>
            <w:hideMark/>
          </w:tcPr>
          <w:p w14:paraId="0AC3724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265</w:t>
            </w:r>
          </w:p>
        </w:tc>
        <w:tc>
          <w:tcPr>
            <w:tcW w:w="3138" w:type="dxa"/>
            <w:hideMark/>
          </w:tcPr>
          <w:p w14:paraId="07049851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87</w:t>
            </w:r>
          </w:p>
        </w:tc>
      </w:tr>
      <w:tr w:rsidR="00895D57" w:rsidRPr="00E436A3" w14:paraId="4DBE5485" w14:textId="77777777" w:rsidTr="00C14937">
        <w:tc>
          <w:tcPr>
            <w:tcW w:w="600" w:type="dxa"/>
            <w:hideMark/>
          </w:tcPr>
          <w:p w14:paraId="72595F40" w14:textId="4A1D02E9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69A80FE3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Tērvete</w:t>
            </w:r>
          </w:p>
        </w:tc>
        <w:tc>
          <w:tcPr>
            <w:tcW w:w="1317" w:type="dxa"/>
            <w:hideMark/>
          </w:tcPr>
          <w:p w14:paraId="6F765832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3429</w:t>
            </w:r>
          </w:p>
        </w:tc>
        <w:tc>
          <w:tcPr>
            <w:tcW w:w="1409" w:type="dxa"/>
            <w:hideMark/>
          </w:tcPr>
          <w:p w14:paraId="2A22631D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113</w:t>
            </w:r>
          </w:p>
        </w:tc>
        <w:tc>
          <w:tcPr>
            <w:tcW w:w="3138" w:type="dxa"/>
            <w:hideMark/>
          </w:tcPr>
          <w:p w14:paraId="04410736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93</w:t>
            </w:r>
          </w:p>
        </w:tc>
      </w:tr>
      <w:tr w:rsidR="00895D57" w:rsidRPr="00E436A3" w14:paraId="2B212D59" w14:textId="77777777" w:rsidTr="00C14937">
        <w:tc>
          <w:tcPr>
            <w:tcW w:w="600" w:type="dxa"/>
            <w:hideMark/>
          </w:tcPr>
          <w:p w14:paraId="19BD4B1C" w14:textId="5605720B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31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0DF72E0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Vārkava</w:t>
            </w:r>
          </w:p>
        </w:tc>
        <w:tc>
          <w:tcPr>
            <w:tcW w:w="1317" w:type="dxa"/>
            <w:hideMark/>
          </w:tcPr>
          <w:p w14:paraId="5EAD15CF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1938</w:t>
            </w:r>
          </w:p>
        </w:tc>
        <w:tc>
          <w:tcPr>
            <w:tcW w:w="1409" w:type="dxa"/>
            <w:hideMark/>
          </w:tcPr>
          <w:p w14:paraId="312A958B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77</w:t>
            </w:r>
          </w:p>
        </w:tc>
        <w:tc>
          <w:tcPr>
            <w:tcW w:w="3138" w:type="dxa"/>
            <w:hideMark/>
          </w:tcPr>
          <w:p w14:paraId="49B7CC30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73</w:t>
            </w:r>
          </w:p>
        </w:tc>
      </w:tr>
      <w:tr w:rsidR="00895D57" w:rsidRPr="00E436A3" w14:paraId="3F6D5AC4" w14:textId="77777777" w:rsidTr="00C14937">
        <w:tc>
          <w:tcPr>
            <w:tcW w:w="600" w:type="dxa"/>
            <w:hideMark/>
          </w:tcPr>
          <w:p w14:paraId="32D575FE" w14:textId="29F50230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32</w:t>
            </w:r>
            <w:r w:rsidR="00E436A3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32" w:type="dxa"/>
            <w:hideMark/>
          </w:tcPr>
          <w:p w14:paraId="421C4FC4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Ventspils</w:t>
            </w:r>
          </w:p>
        </w:tc>
        <w:tc>
          <w:tcPr>
            <w:tcW w:w="1317" w:type="dxa"/>
            <w:hideMark/>
          </w:tcPr>
          <w:p w14:paraId="532CD869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11760 </w:t>
            </w:r>
          </w:p>
        </w:tc>
        <w:tc>
          <w:tcPr>
            <w:tcW w:w="1409" w:type="dxa"/>
            <w:hideMark/>
          </w:tcPr>
          <w:p w14:paraId="7A77158C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348</w:t>
            </w:r>
          </w:p>
        </w:tc>
        <w:tc>
          <w:tcPr>
            <w:tcW w:w="3138" w:type="dxa"/>
            <w:hideMark/>
          </w:tcPr>
          <w:p w14:paraId="4582A128" w14:textId="77777777" w:rsidR="00895D57" w:rsidRPr="00E436A3" w:rsidRDefault="00895D57" w:rsidP="00D2757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6A3">
              <w:rPr>
                <w:rFonts w:ascii="Times New Roman" w:hAnsi="Times New Roman"/>
                <w:sz w:val="24"/>
                <w:szCs w:val="24"/>
                <w:lang w:val="lv-LV"/>
              </w:rPr>
              <w:t>72</w:t>
            </w:r>
          </w:p>
        </w:tc>
      </w:tr>
    </w:tbl>
    <w:p w14:paraId="55EB85EA" w14:textId="50225928" w:rsidR="00A97523" w:rsidRPr="00E436A3" w:rsidRDefault="00DC3215" w:rsidP="005D4468">
      <w:pPr>
        <w:jc w:val="both"/>
        <w:rPr>
          <w:rFonts w:cstheme="minorHAnsi"/>
          <w:i/>
          <w:iCs/>
        </w:rPr>
      </w:pPr>
      <w:r w:rsidRPr="00E436A3">
        <w:rPr>
          <w:rFonts w:cstheme="minorHAnsi"/>
        </w:rPr>
        <w:t>*</w:t>
      </w:r>
      <w:r w:rsidR="00791938" w:rsidRPr="00E436A3">
        <w:rPr>
          <w:rFonts w:cstheme="minorHAnsi"/>
          <w:i/>
          <w:iCs/>
        </w:rPr>
        <w:t xml:space="preserve"> </w:t>
      </w:r>
      <w:r w:rsidR="00455D8F" w:rsidRPr="00E436A3">
        <w:rPr>
          <w:rFonts w:cstheme="minorHAnsi"/>
          <w:i/>
          <w:iCs/>
        </w:rPr>
        <w:t>P</w:t>
      </w:r>
      <w:r w:rsidR="00791938" w:rsidRPr="00E436A3">
        <w:rPr>
          <w:rFonts w:cstheme="minorHAnsi"/>
          <w:i/>
          <w:iCs/>
        </w:rPr>
        <w:t>ā</w:t>
      </w:r>
      <w:r w:rsidR="009B02ED" w:rsidRPr="00E436A3">
        <w:rPr>
          <w:rFonts w:cstheme="minorHAnsi"/>
          <w:i/>
          <w:iCs/>
        </w:rPr>
        <w:t xml:space="preserve">rstāvniecība bija </w:t>
      </w:r>
      <w:r w:rsidR="00C14937" w:rsidRPr="00E436A3">
        <w:rPr>
          <w:rFonts w:cstheme="minorHAnsi"/>
          <w:i/>
          <w:iCs/>
        </w:rPr>
        <w:t>dažāda</w:t>
      </w:r>
      <w:r w:rsidR="009B02ED" w:rsidRPr="00E436A3">
        <w:rPr>
          <w:rFonts w:cstheme="minorHAnsi"/>
          <w:i/>
          <w:iCs/>
        </w:rPr>
        <w:t xml:space="preserve">, to ietekmēja pirmo aptauju apturēšana </w:t>
      </w:r>
      <w:r w:rsidR="00F37CC2" w:rsidRPr="00E436A3">
        <w:rPr>
          <w:rFonts w:cstheme="minorHAnsi"/>
          <w:i/>
          <w:iCs/>
        </w:rPr>
        <w:t>ar ministra rīkojumu</w:t>
      </w:r>
      <w:r w:rsidR="00455D8F" w:rsidRPr="00E436A3">
        <w:rPr>
          <w:rFonts w:cstheme="minorHAnsi"/>
          <w:i/>
          <w:iCs/>
        </w:rPr>
        <w:t>.</w:t>
      </w:r>
    </w:p>
    <w:p w14:paraId="52AA6ADB" w14:textId="14E95067" w:rsidR="00AD1BA6" w:rsidRPr="00E436A3" w:rsidRDefault="00455D8F" w:rsidP="005D4468">
      <w:pPr>
        <w:jc w:val="both"/>
      </w:pPr>
      <w:r w:rsidRPr="00E436A3">
        <w:t>Novados</w:t>
      </w:r>
      <w:r w:rsidR="00AD1BA6" w:rsidRPr="00E436A3">
        <w:t xml:space="preserve"> tika veikti socioloģiskie pētījumi, parakstu vākšanas kampaņas, iedzīvotāju sapulces. Bez ministrijas iejaukšanās dati būtu precīzāki.</w:t>
      </w:r>
    </w:p>
    <w:p w14:paraId="37390B5D" w14:textId="2780B69B" w:rsidR="00B6744A" w:rsidRPr="00E436A3" w:rsidRDefault="00B6744A" w:rsidP="005D4468">
      <w:pPr>
        <w:jc w:val="both"/>
      </w:pPr>
      <w:r w:rsidRPr="00E436A3">
        <w:t>Kocēn</w:t>
      </w:r>
      <w:r w:rsidR="00D42A3C" w:rsidRPr="00E436A3">
        <w:t>u</w:t>
      </w:r>
      <w:r w:rsidRPr="00E436A3">
        <w:t xml:space="preserve"> novada dome </w:t>
      </w:r>
      <w:r w:rsidR="00151EC0" w:rsidRPr="00E436A3">
        <w:t xml:space="preserve">ir </w:t>
      </w:r>
      <w:r w:rsidRPr="00E436A3">
        <w:t>nolēmusi vērsties Satversmes tiesā par reformas nelikumību.</w:t>
      </w:r>
    </w:p>
    <w:p w14:paraId="2275BA51" w14:textId="3BD1925D" w:rsidR="00B6744A" w:rsidRPr="00E436A3" w:rsidRDefault="00B6744A" w:rsidP="005D4468">
      <w:pPr>
        <w:jc w:val="both"/>
      </w:pPr>
      <w:r w:rsidRPr="00E436A3">
        <w:t>No 2019.</w:t>
      </w:r>
      <w:r w:rsidR="00E436A3">
        <w:t> </w:t>
      </w:r>
      <w:r w:rsidRPr="00E436A3">
        <w:t xml:space="preserve">gada jūnija līdz septembrim </w:t>
      </w:r>
      <w:r w:rsidR="00556190" w:rsidRPr="00E436A3">
        <w:t>v</w:t>
      </w:r>
      <w:r w:rsidRPr="00E436A3">
        <w:t>ides aizsardzības un reģionālās attīstības ministrs organizēj</w:t>
      </w:r>
      <w:r w:rsidR="00556190" w:rsidRPr="00E436A3">
        <w:t>a</w:t>
      </w:r>
      <w:r w:rsidRPr="00E436A3">
        <w:t xml:space="preserve"> 30 sanāksmes potenciāli </w:t>
      </w:r>
      <w:r w:rsidR="00D42A3C" w:rsidRPr="00E436A3">
        <w:t>apvieno</w:t>
      </w:r>
      <w:r w:rsidR="00B043BB" w:rsidRPr="00E436A3">
        <w:t>jamo</w:t>
      </w:r>
      <w:r w:rsidR="00D42A3C" w:rsidRPr="00E436A3">
        <w:t xml:space="preserve"> </w:t>
      </w:r>
      <w:r w:rsidR="00556190" w:rsidRPr="00E436A3">
        <w:t>novadu</w:t>
      </w:r>
      <w:r w:rsidR="00D42A3C" w:rsidRPr="00E436A3">
        <w:t xml:space="preserve"> centros</w:t>
      </w:r>
      <w:r w:rsidRPr="00E436A3">
        <w:t>. Visos gadījumos</w:t>
      </w:r>
      <w:r w:rsidR="00D42A3C" w:rsidRPr="00E436A3">
        <w:t xml:space="preserve"> tās</w:t>
      </w:r>
      <w:r w:rsidRPr="00E436A3">
        <w:t xml:space="preserve"> bija </w:t>
      </w:r>
      <w:r w:rsidRPr="00E436A3">
        <w:lastRenderedPageBreak/>
        <w:t>ministra monolog</w:t>
      </w:r>
      <w:r w:rsidR="00D42A3C" w:rsidRPr="00E436A3">
        <w:t>s</w:t>
      </w:r>
      <w:r w:rsidRPr="00E436A3">
        <w:t xml:space="preserve">. Pašvaldību </w:t>
      </w:r>
      <w:r w:rsidR="005D06D1" w:rsidRPr="00E436A3">
        <w:t>deputātu</w:t>
      </w:r>
      <w:r w:rsidRPr="00E436A3">
        <w:t xml:space="preserve"> priekšlikumi netika ņemti vērā, bet jautājumi par vietēj</w:t>
      </w:r>
      <w:r w:rsidR="005D06D1" w:rsidRPr="00E436A3">
        <w:t>ām</w:t>
      </w:r>
      <w:r w:rsidRPr="00E436A3">
        <w:t xml:space="preserve"> </w:t>
      </w:r>
      <w:r w:rsidR="00556190" w:rsidRPr="00E436A3">
        <w:t>vajadzībām</w:t>
      </w:r>
      <w:r w:rsidRPr="00E436A3">
        <w:t xml:space="preserve"> un vietēj</w:t>
      </w:r>
      <w:r w:rsidR="005D06D1" w:rsidRPr="00E436A3">
        <w:t>ām</w:t>
      </w:r>
      <w:r w:rsidRPr="00E436A3">
        <w:t xml:space="preserve"> interesēm tika ignorēti. Tā rezultātā tika pieņemts Latvijas Pašvaldību savienības</w:t>
      </w:r>
      <w:r w:rsidR="005D06D1" w:rsidRPr="00E436A3">
        <w:t xml:space="preserve"> Domes</w:t>
      </w:r>
      <w:r w:rsidRPr="00E436A3">
        <w:t xml:space="preserve"> lēmums</w:t>
      </w:r>
      <w:r w:rsidR="005D06D1" w:rsidRPr="00E436A3">
        <w:t>, kas pieprasa</w:t>
      </w:r>
      <w:r w:rsidRPr="00E436A3">
        <w:t xml:space="preserve"> ministr</w:t>
      </w:r>
      <w:r w:rsidR="005D06D1" w:rsidRPr="00E436A3">
        <w:t>a</w:t>
      </w:r>
      <w:r w:rsidRPr="00E436A3">
        <w:t xml:space="preserve"> Pūce</w:t>
      </w:r>
      <w:r w:rsidR="005D06D1" w:rsidRPr="00E436A3">
        <w:t>s demisiju</w:t>
      </w:r>
      <w:r w:rsidRPr="00E436A3">
        <w:t xml:space="preserve"> un ierosina </w:t>
      </w:r>
      <w:r w:rsidR="00993E36" w:rsidRPr="00E436A3">
        <w:t>izveidot darba grupu</w:t>
      </w:r>
      <w:r w:rsidRPr="00E436A3">
        <w:t xml:space="preserve"> Ministru prezidenta vadībā </w:t>
      </w:r>
      <w:r w:rsidR="00993E36" w:rsidRPr="00E436A3">
        <w:t xml:space="preserve">ATR turpināšanai </w:t>
      </w:r>
      <w:r w:rsidRPr="00E436A3">
        <w:t>(</w:t>
      </w:r>
      <w:r w:rsidR="00841470" w:rsidRPr="00E436A3">
        <w:t>1.</w:t>
      </w:r>
      <w:r w:rsidR="00556190" w:rsidRPr="00E436A3">
        <w:t> </w:t>
      </w:r>
      <w:r w:rsidRPr="00E436A3">
        <w:t>pielikums).</w:t>
      </w:r>
    </w:p>
    <w:p w14:paraId="19796C80" w14:textId="118AEAFC" w:rsidR="00B6744A" w:rsidRPr="00E436A3" w:rsidRDefault="00B6744A" w:rsidP="005D4468">
      <w:pPr>
        <w:jc w:val="both"/>
      </w:pPr>
      <w:r w:rsidRPr="00E436A3">
        <w:t>Reform</w:t>
      </w:r>
      <w:r w:rsidR="00B554F7" w:rsidRPr="00E436A3">
        <w:t xml:space="preserve">as potenciālo </w:t>
      </w:r>
      <w:r w:rsidRPr="00E436A3">
        <w:t xml:space="preserve">zaudētāju vidū </w:t>
      </w:r>
      <w:r w:rsidR="00B554F7" w:rsidRPr="00E436A3">
        <w:t>būtu</w:t>
      </w:r>
      <w:r w:rsidRPr="00E436A3">
        <w:t xml:space="preserve"> ne tikai 74 </w:t>
      </w:r>
      <w:r w:rsidR="00556190" w:rsidRPr="00E436A3">
        <w:t>novadi</w:t>
      </w:r>
      <w:r w:rsidRPr="00E436A3">
        <w:t xml:space="preserve"> (to centri ir potenciālās perifērijas), bet arī </w:t>
      </w:r>
      <w:r w:rsidR="00556190" w:rsidRPr="00E436A3">
        <w:t>sešas</w:t>
      </w:r>
      <w:r w:rsidRPr="00E436A3">
        <w:t xml:space="preserve"> no </w:t>
      </w:r>
      <w:r w:rsidR="00556190" w:rsidRPr="00E436A3">
        <w:t>deviņām</w:t>
      </w:r>
      <w:r w:rsidRPr="00E436A3">
        <w:t xml:space="preserve"> republik</w:t>
      </w:r>
      <w:r w:rsidR="00FD76FA" w:rsidRPr="00E436A3">
        <w:t>as</w:t>
      </w:r>
      <w:r w:rsidRPr="00E436A3">
        <w:t xml:space="preserve"> pilsētām. Atbildīgais ministrs nespēj parādīt nevienu </w:t>
      </w:r>
      <w:r w:rsidR="00FD76FA" w:rsidRPr="00E436A3">
        <w:t xml:space="preserve">uz faktiem un aprēķiniem balstītu </w:t>
      </w:r>
      <w:r w:rsidRPr="00E436A3">
        <w:t>plānu, kā nodrošināt sabiedrisko pakalpojumu pieejamību un kā saglabāt privāto investoru interesi potenciālo zaudētāju teritorijās.</w:t>
      </w:r>
    </w:p>
    <w:p w14:paraId="62443161" w14:textId="4B9AF883" w:rsidR="00B6744A" w:rsidRPr="00E436A3" w:rsidRDefault="00B6744A" w:rsidP="005D4468">
      <w:pPr>
        <w:jc w:val="both"/>
      </w:pPr>
      <w:r w:rsidRPr="00E436A3">
        <w:t>L</w:t>
      </w:r>
      <w:r w:rsidR="00D2089A" w:rsidRPr="00E436A3">
        <w:t>PS</w:t>
      </w:r>
      <w:r w:rsidRPr="00E436A3">
        <w:t xml:space="preserve"> uzskata, ka pirms jaunu kritēriju noteikšanas </w:t>
      </w:r>
      <w:r w:rsidR="00D2089A" w:rsidRPr="00E436A3">
        <w:t xml:space="preserve">vietējām </w:t>
      </w:r>
      <w:r w:rsidRPr="00E436A3">
        <w:t xml:space="preserve">pašvaldībām ir nepieciešama jauna reģionālo </w:t>
      </w:r>
      <w:r w:rsidR="00D2089A" w:rsidRPr="00E436A3">
        <w:t>pašvaldību</w:t>
      </w:r>
      <w:r w:rsidRPr="00E436A3">
        <w:t xml:space="preserve"> koncepcija. Pēc septiņām reģionālām konferencēm, kurās piedalījās augstskolas, tika sagatavots un centrālajai valdībai nosūtīts diskusiju dokuments par kompleks</w:t>
      </w:r>
      <w:r w:rsidR="00151EC0" w:rsidRPr="00E436A3">
        <w:t>u</w:t>
      </w:r>
      <w:r w:rsidRPr="00E436A3">
        <w:t xml:space="preserve"> teritoriālās pārvald</w:t>
      </w:r>
      <w:r w:rsidR="00151EC0" w:rsidRPr="00E436A3">
        <w:t>ības</w:t>
      </w:r>
      <w:r w:rsidRPr="00E436A3">
        <w:t xml:space="preserve"> reformu. Tā </w:t>
      </w:r>
      <w:r w:rsidR="00D2089A" w:rsidRPr="00E436A3">
        <w:t>pamatdoma</w:t>
      </w:r>
      <w:r w:rsidRPr="00E436A3">
        <w:t xml:space="preserve"> ir tāda, ka ATR ir jābūt valsts reģionālās attīstības instrumentam, nevis otrādi. Minētais neatkarīgo pētnieku priekšlikums sastāv no robežu reformas (tieši vēlētas reģionālās </w:t>
      </w:r>
      <w:r w:rsidR="00D2089A" w:rsidRPr="00E436A3">
        <w:t>paš</w:t>
      </w:r>
      <w:r w:rsidRPr="00E436A3">
        <w:t xml:space="preserve">valdības), fiskālās reformas (jauni principi attiecībā uz nodokļu </w:t>
      </w:r>
      <w:r w:rsidR="00D2089A" w:rsidRPr="00E436A3">
        <w:t>sadali</w:t>
      </w:r>
      <w:r w:rsidRPr="00E436A3">
        <w:t xml:space="preserve"> un pašvaldību finanšu izlīdzināšanu) un funkcionālās reformas (svarīgu centrālās valdības funkciju decentralizācija un vairāku vietējo pašvaldību funkciju centralizācija </w:t>
      </w:r>
      <w:r w:rsidR="00B043BB" w:rsidRPr="00E436A3">
        <w:t xml:space="preserve">uz </w:t>
      </w:r>
      <w:r w:rsidRPr="00E436A3">
        <w:t>reģionālajā</w:t>
      </w:r>
      <w:r w:rsidR="00151EC0" w:rsidRPr="00E436A3">
        <w:t>m</w:t>
      </w:r>
      <w:r w:rsidRPr="00E436A3">
        <w:t xml:space="preserve"> </w:t>
      </w:r>
      <w:r w:rsidR="00D2089A" w:rsidRPr="00E436A3">
        <w:t>paš</w:t>
      </w:r>
      <w:r w:rsidRPr="00E436A3">
        <w:t>valdībā</w:t>
      </w:r>
      <w:r w:rsidR="00151EC0" w:rsidRPr="00E436A3">
        <w:t>m</w:t>
      </w:r>
      <w:r w:rsidRPr="00E436A3">
        <w:t>). Ja reformu sāk</w:t>
      </w:r>
      <w:r w:rsidR="00F41716" w:rsidRPr="00E436A3">
        <w:t>,</w:t>
      </w:r>
      <w:r w:rsidRPr="00E436A3">
        <w:t xml:space="preserve"> tikai pārveidojot vietējo līmeni, kļūdas ir neizbēgamas.</w:t>
      </w:r>
    </w:p>
    <w:p w14:paraId="1834C9D9" w14:textId="77777777" w:rsidR="00B6744A" w:rsidRPr="00E436A3" w:rsidRDefault="00B6744A" w:rsidP="005D4468">
      <w:pPr>
        <w:jc w:val="both"/>
        <w:rPr>
          <w:b/>
          <w:bCs/>
        </w:rPr>
      </w:pPr>
      <w:r w:rsidRPr="00E436A3">
        <w:rPr>
          <w:b/>
          <w:bCs/>
        </w:rPr>
        <w:t>Fiskālās decentralizācijas pārkāpumi:</w:t>
      </w:r>
    </w:p>
    <w:p w14:paraId="3C304600" w14:textId="19B4204F" w:rsidR="00B6744A" w:rsidRPr="00E436A3" w:rsidRDefault="00B6744A" w:rsidP="005D4468">
      <w:pPr>
        <w:jc w:val="both"/>
      </w:pPr>
      <w:r w:rsidRPr="00E436A3">
        <w:t>Pirms diviem gadiem tika īstenota nodokļu reforma ar papildu progresivitātes ieviešanu attiecībā uz iedzīvotāju ienākuma nodokli (IIN). Reformas rezultātā tik</w:t>
      </w:r>
      <w:r w:rsidR="00BF26C2" w:rsidRPr="00E436A3">
        <w:t>a</w:t>
      </w:r>
      <w:r w:rsidRPr="00E436A3">
        <w:t xml:space="preserve"> mainīta proporcija starp divām darbaspēka nodokļu daļām</w:t>
      </w:r>
      <w:r w:rsidR="00BF26C2" w:rsidRPr="00E436A3">
        <w:t>:</w:t>
      </w:r>
      <w:r w:rsidRPr="00E436A3">
        <w:t xml:space="preserve"> obligātās sociālās apdrošināšanas iemaksas ievērojami palielinājās, bet IIN</w:t>
      </w:r>
      <w:r w:rsidR="00E436A3">
        <w:t xml:space="preserve"> </w:t>
      </w:r>
      <w:r w:rsidR="00BF26C2" w:rsidRPr="00E436A3">
        <w:t>–</w:t>
      </w:r>
      <w:r w:rsidRPr="00E436A3">
        <w:t xml:space="preserve"> samazinājās. </w:t>
      </w:r>
      <w:r w:rsidR="00EA7335" w:rsidRPr="00E436A3">
        <w:t>IIN</w:t>
      </w:r>
      <w:r w:rsidRPr="00E436A3">
        <w:t xml:space="preserve"> ir dalīts nodoklis</w:t>
      </w:r>
      <w:r w:rsidR="00BF26C2" w:rsidRPr="00E436A3">
        <w:t>:</w:t>
      </w:r>
      <w:r w:rsidRPr="00E436A3">
        <w:t xml:space="preserve"> 80% tiek iemaksāti vietējā budžetā un 20%</w:t>
      </w:r>
      <w:r w:rsidR="00E436A3">
        <w:t xml:space="preserve"> </w:t>
      </w:r>
      <w:r w:rsidR="00BF26C2" w:rsidRPr="00E436A3">
        <w:t>–</w:t>
      </w:r>
      <w:r w:rsidRPr="00E436A3">
        <w:t xml:space="preserve"> valsts budžetā. Tas ir avots gandrīz 50% pašvaldību izdevumu. Šajā nodokļu reformā centrāl</w:t>
      </w:r>
      <w:r w:rsidR="00EA7335" w:rsidRPr="00E436A3">
        <w:t>ās</w:t>
      </w:r>
      <w:r w:rsidRPr="00E436A3">
        <w:t xml:space="preserve"> valdīb</w:t>
      </w:r>
      <w:r w:rsidR="00EA7335" w:rsidRPr="00E436A3">
        <w:t>as</w:t>
      </w:r>
      <w:r w:rsidRPr="00E436A3">
        <w:t xml:space="preserve"> funkcija</w:t>
      </w:r>
      <w:r w:rsidR="00E436A3">
        <w:t xml:space="preserve"> </w:t>
      </w:r>
      <w:r w:rsidRPr="00E436A3">
        <w:t>– ienākumu nevienlīdzības mazināšana pēc vienotiem noteikumiem visā valstī –</w:t>
      </w:r>
      <w:r w:rsidR="00EA7335" w:rsidRPr="00E436A3">
        <w:t xml:space="preserve"> tiek finansēta</w:t>
      </w:r>
      <w:r w:rsidRPr="00E436A3">
        <w:t xml:space="preserve"> no pašvaldību naudas. Turklāt tas izraisa pašvaldību ieņēmumu nevienlīdzības </w:t>
      </w:r>
      <w:r w:rsidR="00BF26C2" w:rsidRPr="00E436A3">
        <w:t xml:space="preserve">ievērojamu </w:t>
      </w:r>
      <w:r w:rsidRPr="00E436A3">
        <w:t>pieaugumu pirms finanšu izlīdzināšanas. Tas rada nopietnas problēmas visās teritorijās, kur algas ir zemākas par vidējo līmeni.</w:t>
      </w:r>
    </w:p>
    <w:p w14:paraId="22FA425F" w14:textId="09EC5D97" w:rsidR="00B6744A" w:rsidRPr="00E436A3" w:rsidRDefault="00B6744A" w:rsidP="005D4468">
      <w:pPr>
        <w:jc w:val="both"/>
      </w:pPr>
      <w:r w:rsidRPr="00E436A3">
        <w:t>Sarun</w:t>
      </w:r>
      <w:r w:rsidR="00BF26C2" w:rsidRPr="00E436A3">
        <w:t>ās</w:t>
      </w:r>
      <w:r w:rsidRPr="00E436A3">
        <w:t xml:space="preserve"> ar centrālo valdību tika panākts kompromiss</w:t>
      </w:r>
      <w:r w:rsidR="007D3F55" w:rsidRPr="00E436A3">
        <w:t>:</w:t>
      </w:r>
      <w:r w:rsidRPr="00E436A3">
        <w:t xml:space="preserve"> 19,6%</w:t>
      </w:r>
      <w:r w:rsidR="00841470" w:rsidRPr="00E436A3">
        <w:t xml:space="preserve"> (pašu ieņēmumi – dalītie nodokļi plus vispārējā dotācija)</w:t>
      </w:r>
      <w:r w:rsidRPr="00E436A3">
        <w:t xml:space="preserve"> no visiem nodokļiem </w:t>
      </w:r>
      <w:r w:rsidR="00EA7335" w:rsidRPr="00E436A3">
        <w:t xml:space="preserve">tiek </w:t>
      </w:r>
      <w:r w:rsidRPr="00E436A3">
        <w:t>garantē</w:t>
      </w:r>
      <w:r w:rsidR="00EA7335" w:rsidRPr="00E436A3">
        <w:t xml:space="preserve">ti </w:t>
      </w:r>
      <w:r w:rsidR="00841470" w:rsidRPr="00E436A3">
        <w:t>ar</w:t>
      </w:r>
      <w:r w:rsidRPr="00E436A3">
        <w:t xml:space="preserve"> vispārēj</w:t>
      </w:r>
      <w:r w:rsidR="00841470" w:rsidRPr="00E436A3">
        <w:t>o</w:t>
      </w:r>
      <w:r w:rsidRPr="00E436A3">
        <w:t xml:space="preserve"> dotācij</w:t>
      </w:r>
      <w:r w:rsidR="007D3F55" w:rsidRPr="00E436A3">
        <w:t>u</w:t>
      </w:r>
      <w:r w:rsidRPr="00E436A3">
        <w:t xml:space="preserve"> no valsts budžeta. Minētā vienošanās tika iekļauta </w:t>
      </w:r>
      <w:r w:rsidR="00EA7335" w:rsidRPr="00E436A3">
        <w:t xml:space="preserve">ietvara </w:t>
      </w:r>
      <w:r w:rsidRPr="00E436A3">
        <w:t>budžetā uz trim gadiem. L</w:t>
      </w:r>
      <w:r w:rsidR="00EA7335" w:rsidRPr="00E436A3">
        <w:t>PS</w:t>
      </w:r>
      <w:r w:rsidRPr="00E436A3">
        <w:t xml:space="preserve"> nostāja ir tāda, ka šo proporciju var mainīt tikai gadījumā, ja notiek būtiska kompeten</w:t>
      </w:r>
      <w:r w:rsidR="007D3F55" w:rsidRPr="00E436A3">
        <w:t>ces</w:t>
      </w:r>
      <w:r w:rsidRPr="00E436A3">
        <w:t xml:space="preserve"> pārdale starp centrālo valdību un pašvaldībām.</w:t>
      </w:r>
    </w:p>
    <w:p w14:paraId="71A382A3" w14:textId="150B7ADC" w:rsidR="00A9297A" w:rsidRPr="00E436A3" w:rsidRDefault="00B6744A" w:rsidP="005D4468">
      <w:pPr>
        <w:jc w:val="both"/>
      </w:pPr>
      <w:r w:rsidRPr="00E436A3">
        <w:t xml:space="preserve">Centrālā valdība kopā ar jauna ATR posma uzsākšanu </w:t>
      </w:r>
      <w:r w:rsidR="00EA7335" w:rsidRPr="00E436A3">
        <w:t>piedāvā</w:t>
      </w:r>
      <w:r w:rsidRPr="00E436A3">
        <w:t xml:space="preserve"> </w:t>
      </w:r>
      <w:r w:rsidR="00EA7335" w:rsidRPr="00E436A3">
        <w:t>Saeimai</w:t>
      </w:r>
      <w:r w:rsidRPr="00E436A3">
        <w:t xml:space="preserve"> budžeta projektu 2020.</w:t>
      </w:r>
      <w:r w:rsidR="007D3F55" w:rsidRPr="00E436A3">
        <w:t> </w:t>
      </w:r>
      <w:r w:rsidRPr="00E436A3">
        <w:t>gadam</w:t>
      </w:r>
      <w:r w:rsidR="008901D1" w:rsidRPr="00E436A3">
        <w:t xml:space="preserve">, kas </w:t>
      </w:r>
      <w:r w:rsidRPr="00E436A3">
        <w:t>būtiski</w:t>
      </w:r>
      <w:r w:rsidR="008901D1" w:rsidRPr="00E436A3">
        <w:t xml:space="preserve"> pārkāpj</w:t>
      </w:r>
      <w:r w:rsidRPr="00E436A3">
        <w:t xml:space="preserve"> </w:t>
      </w:r>
      <w:r w:rsidR="00EA7335" w:rsidRPr="00E436A3">
        <w:t xml:space="preserve">ietvara </w:t>
      </w:r>
      <w:r w:rsidRPr="00E436A3">
        <w:t>budžet</w:t>
      </w:r>
      <w:r w:rsidR="005D4468" w:rsidRPr="00E436A3">
        <w:t>a likumu</w:t>
      </w:r>
      <w:r w:rsidRPr="00E436A3">
        <w:t xml:space="preserve"> un iepriekšēj</w:t>
      </w:r>
      <w:r w:rsidR="008901D1" w:rsidRPr="00E436A3">
        <w:t>ās</w:t>
      </w:r>
      <w:r w:rsidRPr="00E436A3">
        <w:t xml:space="preserve"> vienošan</w:t>
      </w:r>
      <w:r w:rsidR="008901D1" w:rsidRPr="00E436A3">
        <w:t>ā</w:t>
      </w:r>
      <w:r w:rsidRPr="00E436A3">
        <w:t xml:space="preserve">s ar pašvaldībām. </w:t>
      </w:r>
      <w:r w:rsidR="00A9297A" w:rsidRPr="00E436A3">
        <w:t>Likuma pārkāpumu kop</w:t>
      </w:r>
      <w:r w:rsidR="007D3F55" w:rsidRPr="00E436A3">
        <w:t>ēj</w:t>
      </w:r>
      <w:r w:rsidR="00A9297A" w:rsidRPr="00E436A3">
        <w:t>ā ietekme ir 170</w:t>
      </w:r>
      <w:r w:rsidR="007D3F55" w:rsidRPr="00E436A3">
        <w:t> </w:t>
      </w:r>
      <w:r w:rsidR="00A9297A" w:rsidRPr="00E436A3">
        <w:t>miljoni eiro:</w:t>
      </w:r>
    </w:p>
    <w:p w14:paraId="0122971E" w14:textId="77777777" w:rsidR="00A9297A" w:rsidRPr="00E436A3" w:rsidRDefault="008901D1" w:rsidP="00A9297A">
      <w:pPr>
        <w:pStyle w:val="ListParagraph"/>
        <w:numPr>
          <w:ilvl w:val="0"/>
          <w:numId w:val="3"/>
        </w:numPr>
        <w:jc w:val="both"/>
      </w:pPr>
      <w:r w:rsidRPr="00E436A3">
        <w:t>p</w:t>
      </w:r>
      <w:r w:rsidR="00B6744A" w:rsidRPr="00E436A3">
        <w:t xml:space="preserve">ašvaldību </w:t>
      </w:r>
      <w:r w:rsidR="00A9297A" w:rsidRPr="00E436A3">
        <w:t xml:space="preserve">nodokļu un kompensējošo dotāciju </w:t>
      </w:r>
      <w:r w:rsidR="00B6744A" w:rsidRPr="00E436A3">
        <w:t>proporcijas samazināšana no 19,6% līdz 1</w:t>
      </w:r>
      <w:r w:rsidR="005D4468" w:rsidRPr="00E436A3">
        <w:t>8</w:t>
      </w:r>
      <w:r w:rsidR="00B6744A" w:rsidRPr="00E436A3">
        <w:t>,8%,</w:t>
      </w:r>
    </w:p>
    <w:p w14:paraId="1D8B6F06" w14:textId="4BBAA418" w:rsidR="00A9297A" w:rsidRPr="00E436A3" w:rsidRDefault="00A9297A" w:rsidP="00A9297A">
      <w:pPr>
        <w:pStyle w:val="ListParagraph"/>
        <w:numPr>
          <w:ilvl w:val="0"/>
          <w:numId w:val="3"/>
        </w:numPr>
        <w:jc w:val="both"/>
      </w:pPr>
      <w:r w:rsidRPr="00E436A3">
        <w:t>nodokļu ieņēmumu samazināšana par 28 miljoniem eiro</w:t>
      </w:r>
      <w:r w:rsidR="00813469" w:rsidRPr="00E436A3">
        <w:t>,</w:t>
      </w:r>
      <w:r w:rsidRPr="00E436A3">
        <w:t xml:space="preserve"> priekšlaicīgi ceļot nodokļa bāzes neapliekamo daļu;</w:t>
      </w:r>
    </w:p>
    <w:p w14:paraId="1A077268" w14:textId="5236182A" w:rsidR="00A9297A" w:rsidRPr="00E436A3" w:rsidRDefault="00B6744A" w:rsidP="00A9297A">
      <w:pPr>
        <w:pStyle w:val="ListParagraph"/>
        <w:numPr>
          <w:ilvl w:val="0"/>
          <w:numId w:val="3"/>
        </w:numPr>
        <w:jc w:val="both"/>
      </w:pPr>
      <w:r w:rsidRPr="00E436A3">
        <w:t>nelikumīga 38 miljonu eiro izslēgšana no Rīgas pilsētas pašu ieņēmumiem,</w:t>
      </w:r>
    </w:p>
    <w:p w14:paraId="7424487B" w14:textId="2F6B7A75" w:rsidR="00A9297A" w:rsidRPr="00E436A3" w:rsidRDefault="00B6744A" w:rsidP="00A9297A">
      <w:pPr>
        <w:pStyle w:val="ListParagraph"/>
        <w:numPr>
          <w:ilvl w:val="0"/>
          <w:numId w:val="3"/>
        </w:numPr>
        <w:jc w:val="both"/>
      </w:pPr>
      <w:r w:rsidRPr="00E436A3">
        <w:t xml:space="preserve">nelikumīga </w:t>
      </w:r>
      <w:r w:rsidR="008901D1" w:rsidRPr="00E436A3">
        <w:t>dabas</w:t>
      </w:r>
      <w:r w:rsidRPr="00E436A3">
        <w:t xml:space="preserve"> resursu nodokļa un azartspēļu nodokļa pārdale no pašvaldību budžetiem </w:t>
      </w:r>
      <w:r w:rsidR="008901D1" w:rsidRPr="00E436A3">
        <w:t>uz valsts budžetu</w:t>
      </w:r>
      <w:r w:rsidR="00A9297A" w:rsidRPr="00E436A3">
        <w:t>.</w:t>
      </w:r>
    </w:p>
    <w:p w14:paraId="217A830F" w14:textId="214D549C" w:rsidR="00674E0E" w:rsidRPr="00E436A3" w:rsidRDefault="00A9297A" w:rsidP="00A9297A">
      <w:pPr>
        <w:jc w:val="both"/>
      </w:pPr>
      <w:r w:rsidRPr="00E436A3">
        <w:lastRenderedPageBreak/>
        <w:t>Nelikumīgs finansējuma samazin</w:t>
      </w:r>
      <w:r w:rsidR="00813469" w:rsidRPr="00E436A3">
        <w:t>ā</w:t>
      </w:r>
      <w:r w:rsidRPr="00E436A3">
        <w:t>jums veido a</w:t>
      </w:r>
      <w:r w:rsidR="00B6744A" w:rsidRPr="00E436A3">
        <w:t>ptuveni 8,5% no kopējiem vietēj</w:t>
      </w:r>
      <w:r w:rsidR="008901D1" w:rsidRPr="00E436A3">
        <w:t>o</w:t>
      </w:r>
      <w:r w:rsidR="00B6744A" w:rsidRPr="00E436A3">
        <w:t xml:space="preserve"> budžet</w:t>
      </w:r>
      <w:r w:rsidR="008901D1" w:rsidRPr="00E436A3">
        <w:t>u</w:t>
      </w:r>
      <w:r w:rsidR="00B6744A" w:rsidRPr="00E436A3">
        <w:t xml:space="preserve"> pašu ieņēmumiem </w:t>
      </w:r>
      <w:r w:rsidRPr="00E436A3">
        <w:t>(</w:t>
      </w:r>
      <w:r w:rsidR="00B6744A" w:rsidRPr="00E436A3">
        <w:t xml:space="preserve">6% no kopējiem izdevumiem). </w:t>
      </w:r>
      <w:r w:rsidR="00712EC9" w:rsidRPr="00E436A3">
        <w:t xml:space="preserve">Visi šie notikumi, </w:t>
      </w:r>
      <w:r w:rsidR="002C2840" w:rsidRPr="00E436A3">
        <w:t>arī</w:t>
      </w:r>
      <w:r w:rsidR="00712EC9" w:rsidRPr="00E436A3">
        <w:t xml:space="preserve"> valsts galvaspilsētas fiskālās situācijas pasliktināšan</w:t>
      </w:r>
      <w:r w:rsidR="002C2840" w:rsidRPr="00E436A3">
        <w:t>a</w:t>
      </w:r>
      <w:r w:rsidR="00712EC9" w:rsidRPr="00E436A3">
        <w:t>, ir tīri politiski lēmumi. Valsts arī “deleģē” pusi no savas funkcijas</w:t>
      </w:r>
      <w:r w:rsidR="00E436A3">
        <w:t xml:space="preserve"> </w:t>
      </w:r>
      <w:r w:rsidR="00712EC9" w:rsidRPr="00E436A3">
        <w:t>– finansēt ēdināšanu pamatskolās (1.</w:t>
      </w:r>
      <w:r w:rsidR="002C2840" w:rsidRPr="00E436A3">
        <w:t>–</w:t>
      </w:r>
      <w:r w:rsidR="00712EC9" w:rsidRPr="00E436A3">
        <w:t>4.</w:t>
      </w:r>
      <w:r w:rsidR="002C2840" w:rsidRPr="00E436A3">
        <w:t> </w:t>
      </w:r>
      <w:r w:rsidR="00712EC9" w:rsidRPr="00E436A3">
        <w:t>klase)</w:t>
      </w:r>
      <w:r w:rsidR="002C2840" w:rsidRPr="00E436A3">
        <w:t> </w:t>
      </w:r>
      <w:r w:rsidR="00712EC9" w:rsidRPr="00E436A3">
        <w:t xml:space="preserve">– tādējādi </w:t>
      </w:r>
      <w:r w:rsidR="002C2840" w:rsidRPr="00E436A3">
        <w:t xml:space="preserve">bez kompensācijas </w:t>
      </w:r>
      <w:r w:rsidR="00712EC9" w:rsidRPr="00E436A3">
        <w:t>palielinot pašvaldības izdevumus par 9,8 miljoniem eiro.</w:t>
      </w:r>
    </w:p>
    <w:p w14:paraId="26454C64" w14:textId="330C7935" w:rsidR="00674E0E" w:rsidRPr="00E436A3" w:rsidRDefault="00712EC9" w:rsidP="005D4468">
      <w:pPr>
        <w:jc w:val="both"/>
      </w:pPr>
      <w:r w:rsidRPr="00E436A3">
        <w:t>V</w:t>
      </w:r>
      <w:r w:rsidR="00674E0E" w:rsidRPr="00E436A3">
        <w:t>is</w:t>
      </w:r>
      <w:r w:rsidRPr="00E436A3">
        <w:t>as</w:t>
      </w:r>
      <w:r w:rsidR="00674E0E" w:rsidRPr="00E436A3">
        <w:t xml:space="preserve"> š</w:t>
      </w:r>
      <w:r w:rsidRPr="00E436A3">
        <w:t>īs</w:t>
      </w:r>
      <w:r w:rsidR="00674E0E" w:rsidRPr="00E436A3">
        <w:t xml:space="preserve"> pašvaldību fiskālās autonomijas samazināšanas </w:t>
      </w:r>
      <w:r w:rsidRPr="00E436A3">
        <w:t>darbība</w:t>
      </w:r>
      <w:r w:rsidR="002C2840" w:rsidRPr="00E436A3">
        <w:t>s</w:t>
      </w:r>
      <w:r w:rsidRPr="00E436A3">
        <w:t xml:space="preserve"> </w:t>
      </w:r>
      <w:r w:rsidR="00674E0E" w:rsidRPr="00E436A3">
        <w:t xml:space="preserve">ir </w:t>
      </w:r>
      <w:r w:rsidR="002C2840" w:rsidRPr="00E436A3">
        <w:t>h</w:t>
      </w:r>
      <w:r w:rsidR="00674E0E" w:rsidRPr="00E436A3">
        <w:t>artas (9.</w:t>
      </w:r>
      <w:r w:rsidR="005E5586" w:rsidRPr="00E436A3">
        <w:t> </w:t>
      </w:r>
      <w:r w:rsidR="00674E0E" w:rsidRPr="00E436A3">
        <w:t>panta 1.</w:t>
      </w:r>
      <w:r w:rsidR="005E5586" w:rsidRPr="00E436A3">
        <w:t> </w:t>
      </w:r>
      <w:r w:rsidR="00674E0E" w:rsidRPr="00E436A3">
        <w:t>punkta, 9.</w:t>
      </w:r>
      <w:r w:rsidR="005E5586" w:rsidRPr="00E436A3">
        <w:t> </w:t>
      </w:r>
      <w:r w:rsidR="00674E0E" w:rsidRPr="00E436A3">
        <w:t>panta 2.</w:t>
      </w:r>
      <w:r w:rsidR="005E5586" w:rsidRPr="00E436A3">
        <w:t> </w:t>
      </w:r>
      <w:r w:rsidR="00674E0E" w:rsidRPr="00E436A3">
        <w:t>punkta un 3.</w:t>
      </w:r>
      <w:r w:rsidR="005E5586" w:rsidRPr="00E436A3">
        <w:t> </w:t>
      </w:r>
      <w:r w:rsidR="00674E0E" w:rsidRPr="00E436A3">
        <w:t>panta 3.</w:t>
      </w:r>
      <w:r w:rsidR="005E5586" w:rsidRPr="00E436A3">
        <w:t> </w:t>
      </w:r>
      <w:r w:rsidR="00674E0E" w:rsidRPr="00E436A3">
        <w:t xml:space="preserve">punkta) un daudzu Latvijas </w:t>
      </w:r>
      <w:r w:rsidRPr="00E436A3">
        <w:t>likumu un</w:t>
      </w:r>
      <w:r w:rsidR="00674E0E" w:rsidRPr="00E436A3">
        <w:t xml:space="preserve"> Ministru kabineta sekundāro </w:t>
      </w:r>
      <w:r w:rsidRPr="00E436A3">
        <w:t xml:space="preserve">tiesību aktu </w:t>
      </w:r>
      <w:r w:rsidR="00674E0E" w:rsidRPr="00E436A3">
        <w:t>pārkāp</w:t>
      </w:r>
      <w:r w:rsidRPr="00E436A3">
        <w:t>ums</w:t>
      </w:r>
      <w:r w:rsidR="00674E0E" w:rsidRPr="00E436A3">
        <w:t>. Šāds tiesiskais nihilisms, ja tas tiks turpināts nākamajos reformu posmos, varētu radīt izšķirošu ietekmi uz vietējo demokrātiju un valsts ilgtspēju.</w:t>
      </w:r>
    </w:p>
    <w:p w14:paraId="7CC9B7B3" w14:textId="6F7F6A58" w:rsidR="00674E0E" w:rsidRPr="00E436A3" w:rsidRDefault="00674E0E" w:rsidP="005D4468">
      <w:pPr>
        <w:jc w:val="both"/>
        <w:rPr>
          <w:b/>
          <w:bCs/>
        </w:rPr>
      </w:pPr>
      <w:r w:rsidRPr="00E436A3">
        <w:rPr>
          <w:b/>
          <w:bCs/>
        </w:rPr>
        <w:t>Draudi</w:t>
      </w:r>
      <w:r w:rsidR="00712EC9" w:rsidRPr="00E436A3">
        <w:rPr>
          <w:b/>
          <w:bCs/>
        </w:rPr>
        <w:t xml:space="preserve">, kas izriet no </w:t>
      </w:r>
      <w:r w:rsidRPr="00E436A3">
        <w:rPr>
          <w:b/>
          <w:bCs/>
        </w:rPr>
        <w:t>no</w:t>
      </w:r>
      <w:r w:rsidR="00712EC9" w:rsidRPr="00E436A3">
        <w:rPr>
          <w:b/>
          <w:bCs/>
        </w:rPr>
        <w:t>doma</w:t>
      </w:r>
      <w:r w:rsidRPr="00E436A3">
        <w:rPr>
          <w:b/>
          <w:bCs/>
        </w:rPr>
        <w:t xml:space="preserve"> mainīt pašvaldību likumdošanu:</w:t>
      </w:r>
    </w:p>
    <w:p w14:paraId="519D1C48" w14:textId="1145A638" w:rsidR="00674E0E" w:rsidRPr="00E436A3" w:rsidRDefault="00674E0E" w:rsidP="005D4468">
      <w:pPr>
        <w:jc w:val="both"/>
      </w:pPr>
      <w:r w:rsidRPr="00E436A3">
        <w:t xml:space="preserve">Latvijas likums “Par pašvaldībām” </w:t>
      </w:r>
      <w:r w:rsidR="00CA077B" w:rsidRPr="00E436A3">
        <w:t xml:space="preserve">hartai kopumā </w:t>
      </w:r>
      <w:r w:rsidRPr="00E436A3">
        <w:t xml:space="preserve">atbilst (to </w:t>
      </w:r>
      <w:r w:rsidR="00A51720" w:rsidRPr="00E436A3">
        <w:t>ir apstiprinājušas trīs</w:t>
      </w:r>
      <w:r w:rsidRPr="00E436A3">
        <w:t xml:space="preserve"> </w:t>
      </w:r>
      <w:r w:rsidR="00CA077B" w:rsidRPr="00E436A3">
        <w:t>k</w:t>
      </w:r>
      <w:r w:rsidRPr="00E436A3">
        <w:t xml:space="preserve">ongresa </w:t>
      </w:r>
      <w:r w:rsidR="00A51720" w:rsidRPr="00E436A3">
        <w:t>uzraudzības vizītes</w:t>
      </w:r>
      <w:r w:rsidRPr="00E436A3">
        <w:t xml:space="preserve">). Tajā iekļautas vairākas demokrātiskas normas, kas ir stingrākas par </w:t>
      </w:r>
      <w:r w:rsidR="008168C1" w:rsidRPr="00E436A3">
        <w:t>h</w:t>
      </w:r>
      <w:r w:rsidRPr="00E436A3">
        <w:t>artas principiem (par obligātām konsultācijām ar pašvaldību apvienību</w:t>
      </w:r>
      <w:r w:rsidR="00A51720" w:rsidRPr="00E436A3">
        <w:t>, kas pārstāv</w:t>
      </w:r>
      <w:r w:rsidRPr="00E436A3">
        <w:t xml:space="preserve"> vairāk nekā pusi no visu veidu pašvaldībām, par īpašumiem kā pašvaldību ekonomisko pamatu utt.).</w:t>
      </w:r>
    </w:p>
    <w:p w14:paraId="6A52E332" w14:textId="1B8A7028" w:rsidR="00674E0E" w:rsidRPr="00E436A3" w:rsidRDefault="00674E0E" w:rsidP="005D4468">
      <w:pPr>
        <w:jc w:val="both"/>
      </w:pPr>
      <w:r w:rsidRPr="00E436A3">
        <w:t>Situācijā, kad centrālā valdība centralizāciju un koncentrē</w:t>
      </w:r>
      <w:r w:rsidR="00A51720" w:rsidRPr="00E436A3">
        <w:t xml:space="preserve">šanu </w:t>
      </w:r>
      <w:r w:rsidR="008168C1" w:rsidRPr="00E436A3">
        <w:t>ir deklarējusi par</w:t>
      </w:r>
      <w:r w:rsidR="00A51720" w:rsidRPr="00E436A3">
        <w:t xml:space="preserve"> vienu no </w:t>
      </w:r>
      <w:r w:rsidRPr="00E436A3">
        <w:t>saviem galvenajiem mērķiem, ir bīstami mainīt galvenos pašvaldību likumdošanas aktus. Šobrīd Ministru kabinets ir paziņojis par nodomu sagatavot:</w:t>
      </w:r>
    </w:p>
    <w:p w14:paraId="03486737" w14:textId="00F5E131" w:rsidR="00674E0E" w:rsidRPr="00E436A3" w:rsidRDefault="00674E0E" w:rsidP="005D4468">
      <w:pPr>
        <w:pStyle w:val="ListParagraph"/>
        <w:numPr>
          <w:ilvl w:val="0"/>
          <w:numId w:val="2"/>
        </w:numPr>
        <w:jc w:val="both"/>
      </w:pPr>
      <w:r w:rsidRPr="00E436A3">
        <w:t>jaun</w:t>
      </w:r>
      <w:r w:rsidR="00A51720" w:rsidRPr="00E436A3">
        <w:t>u</w:t>
      </w:r>
      <w:r w:rsidRPr="00E436A3">
        <w:t xml:space="preserve"> likum</w:t>
      </w:r>
      <w:r w:rsidR="00A51720" w:rsidRPr="00E436A3">
        <w:t xml:space="preserve">u </w:t>
      </w:r>
      <w:r w:rsidRPr="00E436A3">
        <w:t>par paš</w:t>
      </w:r>
      <w:r w:rsidR="00A51720" w:rsidRPr="00E436A3">
        <w:t>valdībām</w:t>
      </w:r>
      <w:r w:rsidRPr="00E436A3">
        <w:t xml:space="preserve">, </w:t>
      </w:r>
      <w:r w:rsidR="00A51720" w:rsidRPr="00E436A3">
        <w:t>samazinot</w:t>
      </w:r>
      <w:r w:rsidRPr="00E436A3">
        <w:t xml:space="preserve"> ievēlēto d</w:t>
      </w:r>
      <w:r w:rsidR="00A51720" w:rsidRPr="00E436A3">
        <w:t>eputātu</w:t>
      </w:r>
      <w:r w:rsidRPr="00E436A3">
        <w:t xml:space="preserve"> lomu un palielin</w:t>
      </w:r>
      <w:r w:rsidR="00894BB6" w:rsidRPr="00E436A3">
        <w:t>ot</w:t>
      </w:r>
      <w:r w:rsidRPr="00E436A3">
        <w:t xml:space="preserve"> </w:t>
      </w:r>
      <w:r w:rsidR="00894BB6" w:rsidRPr="00E436A3">
        <w:t>izpild</w:t>
      </w:r>
      <w:r w:rsidR="007C4658" w:rsidRPr="00E436A3">
        <w:t>varas</w:t>
      </w:r>
      <w:r w:rsidRPr="00E436A3">
        <w:t xml:space="preserve"> lomu;</w:t>
      </w:r>
    </w:p>
    <w:p w14:paraId="6FB9D6C9" w14:textId="1AA40BFC" w:rsidR="00674E0E" w:rsidRPr="00E436A3" w:rsidRDefault="00674E0E" w:rsidP="005D4468">
      <w:pPr>
        <w:pStyle w:val="ListParagraph"/>
        <w:numPr>
          <w:ilvl w:val="0"/>
          <w:numId w:val="2"/>
        </w:numPr>
        <w:jc w:val="both"/>
      </w:pPr>
      <w:r w:rsidRPr="00E436A3">
        <w:t>jaun</w:t>
      </w:r>
      <w:r w:rsidR="00894BB6" w:rsidRPr="00E436A3">
        <w:t>u</w:t>
      </w:r>
      <w:r w:rsidRPr="00E436A3">
        <w:t xml:space="preserve"> likum</w:t>
      </w:r>
      <w:r w:rsidR="00894BB6" w:rsidRPr="00E436A3">
        <w:t>u</w:t>
      </w:r>
      <w:r w:rsidRPr="00E436A3">
        <w:t xml:space="preserve"> par vēlēšanām, samazinot ievēlēto d</w:t>
      </w:r>
      <w:r w:rsidR="00894BB6" w:rsidRPr="00E436A3">
        <w:t>eputātu</w:t>
      </w:r>
      <w:r w:rsidRPr="00E436A3">
        <w:t xml:space="preserve"> skaitu (iepriekšējo administratīvo teritoriju vairākums var zaudēt savus pārstāvjus);</w:t>
      </w:r>
    </w:p>
    <w:p w14:paraId="7520D65F" w14:textId="491CEED4" w:rsidR="00674E0E" w:rsidRPr="00E436A3" w:rsidRDefault="00674E0E" w:rsidP="005D4468">
      <w:pPr>
        <w:pStyle w:val="ListParagraph"/>
        <w:numPr>
          <w:ilvl w:val="0"/>
          <w:numId w:val="2"/>
        </w:numPr>
        <w:jc w:val="both"/>
      </w:pPr>
      <w:r w:rsidRPr="00E436A3">
        <w:t>jaun</w:t>
      </w:r>
      <w:r w:rsidR="00894BB6" w:rsidRPr="00E436A3">
        <w:t>u</w:t>
      </w:r>
      <w:r w:rsidRPr="00E436A3">
        <w:t xml:space="preserve"> likum</w:t>
      </w:r>
      <w:r w:rsidR="00894BB6" w:rsidRPr="00E436A3">
        <w:t>u</w:t>
      </w:r>
      <w:r w:rsidRPr="00E436A3">
        <w:t xml:space="preserve"> par administratīvajām teritorijām un </w:t>
      </w:r>
      <w:r w:rsidR="00894BB6" w:rsidRPr="00E436A3">
        <w:t>apdzīvotām vietām</w:t>
      </w:r>
      <w:r w:rsidRPr="00E436A3">
        <w:t xml:space="preserve"> (</w:t>
      </w:r>
      <w:r w:rsidR="00894BB6" w:rsidRPr="00E436A3">
        <w:t xml:space="preserve">neiekļaujot </w:t>
      </w:r>
      <w:r w:rsidRPr="00E436A3">
        <w:t xml:space="preserve">normas par reģionālajām </w:t>
      </w:r>
      <w:r w:rsidR="00894BB6" w:rsidRPr="00E436A3">
        <w:t>paš</w:t>
      </w:r>
      <w:r w:rsidRPr="00E436A3">
        <w:t>valdībām);</w:t>
      </w:r>
    </w:p>
    <w:p w14:paraId="5CE939BE" w14:textId="69D8FD44" w:rsidR="00674E0E" w:rsidRPr="00E436A3" w:rsidRDefault="00674E0E" w:rsidP="005D4468">
      <w:pPr>
        <w:pStyle w:val="ListParagraph"/>
        <w:numPr>
          <w:ilvl w:val="0"/>
          <w:numId w:val="2"/>
        </w:numPr>
        <w:jc w:val="both"/>
      </w:pPr>
      <w:r w:rsidRPr="00E436A3">
        <w:t>tiesību normas, kas samazina pašvaldību iespējas ieguldīt sporta un kultūras infrastruktūrā, veidot pašvaldības uzņēmumus;</w:t>
      </w:r>
    </w:p>
    <w:p w14:paraId="45AC0E27" w14:textId="44AAF845" w:rsidR="00674E0E" w:rsidRPr="00E436A3" w:rsidRDefault="00674E0E" w:rsidP="005D4468">
      <w:pPr>
        <w:pStyle w:val="ListParagraph"/>
        <w:numPr>
          <w:ilvl w:val="0"/>
          <w:numId w:val="2"/>
        </w:numPr>
        <w:jc w:val="both"/>
      </w:pPr>
      <w:r w:rsidRPr="00E436A3">
        <w:t>jaun</w:t>
      </w:r>
      <w:r w:rsidR="00894BB6" w:rsidRPr="00E436A3">
        <w:t xml:space="preserve">u </w:t>
      </w:r>
      <w:r w:rsidRPr="00E436A3">
        <w:t>likum</w:t>
      </w:r>
      <w:r w:rsidR="00894BB6" w:rsidRPr="00E436A3">
        <w:t>u</w:t>
      </w:r>
      <w:r w:rsidRPr="00E436A3">
        <w:t xml:space="preserve"> par vietējo finanšu izlīdzināšanu, samazinot publisko pakalpojumu finansēšanu un palielinot uzņēmējdarbības stimulēšanas pasākumu finansējumu.</w:t>
      </w:r>
    </w:p>
    <w:p w14:paraId="65BBEEDC" w14:textId="461888E4" w:rsidR="00674E0E" w:rsidRPr="00E436A3" w:rsidRDefault="00674E0E" w:rsidP="005D4468">
      <w:pPr>
        <w:jc w:val="both"/>
      </w:pPr>
      <w:r w:rsidRPr="00E436A3">
        <w:t xml:space="preserve">Centrālās valdības nesenie fiskālie lēmumi nav objektīvi (attiecībā uz Rīgas pilsētas “sodīšanu” par centrālās valdības iepriekšējām kļūdām, jaunu obligāto funkciju noteikšanu bez </w:t>
      </w:r>
      <w:r w:rsidR="008D1A33" w:rsidRPr="00E436A3">
        <w:t>finansējuma</w:t>
      </w:r>
      <w:r w:rsidRPr="00E436A3">
        <w:t xml:space="preserve"> utt.).</w:t>
      </w:r>
    </w:p>
    <w:p w14:paraId="7B9CB88A" w14:textId="5E46C69D" w:rsidR="00674E0E" w:rsidRPr="00E436A3" w:rsidRDefault="00674E0E" w:rsidP="005D4468">
      <w:pPr>
        <w:jc w:val="both"/>
      </w:pPr>
      <w:r w:rsidRPr="00E436A3">
        <w:t>Atstādinot Rīgas mēru no amata pienākumu pildīšanas 2019.</w:t>
      </w:r>
      <w:r w:rsidR="008D1A33" w:rsidRPr="00E436A3">
        <w:t> </w:t>
      </w:r>
      <w:r w:rsidRPr="00E436A3">
        <w:t xml:space="preserve">gada aprīlī, </w:t>
      </w:r>
      <w:r w:rsidR="008D1A33" w:rsidRPr="00E436A3">
        <w:t>v</w:t>
      </w:r>
      <w:r w:rsidRPr="00E436A3">
        <w:t xml:space="preserve">ides aizsardzības un reģionālās attīstības ministrs </w:t>
      </w:r>
      <w:r w:rsidR="008D1A33" w:rsidRPr="00E436A3">
        <w:t>spēra</w:t>
      </w:r>
      <w:r w:rsidRPr="00E436A3">
        <w:t xml:space="preserve"> ārkārtas </w:t>
      </w:r>
      <w:r w:rsidR="008D1A33" w:rsidRPr="00E436A3">
        <w:t>soli</w:t>
      </w:r>
      <w:r w:rsidRPr="00E436A3">
        <w:t>, nevis izmantoja iespēju iesniegt Rīgas domei faktus par likuma pār</w:t>
      </w:r>
      <w:r w:rsidR="00894BB6" w:rsidRPr="00E436A3">
        <w:t>kāpumu</w:t>
      </w:r>
      <w:r w:rsidRPr="00E436A3">
        <w:t xml:space="preserve"> un ierosinājumu izmantot domes tiesības </w:t>
      </w:r>
      <w:r w:rsidR="00894BB6" w:rsidRPr="00E436A3">
        <w:t>nomainīt pilsētas</w:t>
      </w:r>
      <w:r w:rsidRPr="00E436A3">
        <w:t xml:space="preserve"> mēru. </w:t>
      </w:r>
      <w:r w:rsidR="00894BB6" w:rsidRPr="00E436A3">
        <w:t>Tā rezultātā</w:t>
      </w:r>
      <w:r w:rsidRPr="00E436A3">
        <w:t xml:space="preserve"> </w:t>
      </w:r>
      <w:r w:rsidR="00894BB6" w:rsidRPr="00E436A3">
        <w:t>administratīvā</w:t>
      </w:r>
      <w:r w:rsidRPr="00E436A3">
        <w:t xml:space="preserve"> </w:t>
      </w:r>
      <w:r w:rsidR="00894BB6" w:rsidRPr="00E436A3">
        <w:t xml:space="preserve">rajona </w:t>
      </w:r>
      <w:r w:rsidRPr="00E436A3">
        <w:t xml:space="preserve">tiesa tagad </w:t>
      </w:r>
      <w:r w:rsidR="00894BB6" w:rsidRPr="00E436A3">
        <w:t xml:space="preserve">tikai </w:t>
      </w:r>
      <w:r w:rsidRPr="00E436A3">
        <w:t xml:space="preserve">sāk vākt materiālus </w:t>
      </w:r>
      <w:r w:rsidR="00894BB6" w:rsidRPr="00E436A3">
        <w:t>šajā</w:t>
      </w:r>
      <w:r w:rsidRPr="00E436A3">
        <w:t xml:space="preserve"> lietā par atstādināšanu no pienākumu pildīšanas. </w:t>
      </w:r>
      <w:r w:rsidR="00894BB6" w:rsidRPr="00E436A3">
        <w:t>Attiecībā uz iedzīvotāju aptauju</w:t>
      </w:r>
      <w:r w:rsidRPr="00E436A3">
        <w:t xml:space="preserve"> Ikšķil</w:t>
      </w:r>
      <w:r w:rsidR="00894BB6" w:rsidRPr="00E436A3">
        <w:t xml:space="preserve">ē </w:t>
      </w:r>
      <w:r w:rsidRPr="00E436A3">
        <w:t xml:space="preserve">ministra izdoto rīkojumu Satversmes tiesa vērtēs tikai nākamgad, taču tā ietekme uz reformu procesu ir </w:t>
      </w:r>
      <w:r w:rsidR="007C4658" w:rsidRPr="00E436A3">
        <w:t>milzīga</w:t>
      </w:r>
      <w:r w:rsidRPr="00E436A3">
        <w:t>.</w:t>
      </w:r>
    </w:p>
    <w:p w14:paraId="7FA6E7A4" w14:textId="459D83A1" w:rsidR="00674E0E" w:rsidRPr="00E436A3" w:rsidRDefault="00674E0E" w:rsidP="005D4468">
      <w:pPr>
        <w:jc w:val="both"/>
      </w:pPr>
      <w:r w:rsidRPr="00E436A3">
        <w:t>Konfrontācijas situācijā jaunu tiesību aktu izveide varētu būt ļoti bīstama vietējai un reģionālajai demokrātijai.</w:t>
      </w:r>
    </w:p>
    <w:p w14:paraId="46CF9E11" w14:textId="787A8FA9" w:rsidR="00A37B1C" w:rsidRPr="00E436A3" w:rsidRDefault="00454524" w:rsidP="005D4468">
      <w:pPr>
        <w:jc w:val="both"/>
      </w:pPr>
      <w:r w:rsidRPr="00E436A3">
        <w:t xml:space="preserve">Vietējās demokrātijas situācijas pasliktināšanos ievērojami ietekmē </w:t>
      </w:r>
      <w:r w:rsidR="00356E2B" w:rsidRPr="00E436A3">
        <w:t xml:space="preserve">arī nesenās izmaiņas </w:t>
      </w:r>
      <w:r w:rsidR="00847A92" w:rsidRPr="00E436A3">
        <w:t>sabiedrisko mediju politikā</w:t>
      </w:r>
      <w:r w:rsidR="00CC3D2A" w:rsidRPr="00E436A3">
        <w:t>. Šogad</w:t>
      </w:r>
      <w:r w:rsidR="001A4F93" w:rsidRPr="00E436A3">
        <w:t xml:space="preserve"> pašvaldību informatīvie izdevumi tik</w:t>
      </w:r>
      <w:r w:rsidR="000F0EE1" w:rsidRPr="00E436A3">
        <w:t>s</w:t>
      </w:r>
      <w:r w:rsidR="001A4F93" w:rsidRPr="00E436A3">
        <w:t xml:space="preserve"> </w:t>
      </w:r>
      <w:r w:rsidR="00632600" w:rsidRPr="00E436A3">
        <w:t>izslēgti no masu informācijas</w:t>
      </w:r>
      <w:r w:rsidR="009D4F67" w:rsidRPr="00E436A3">
        <w:t xml:space="preserve"> līdzekļu reģistra.</w:t>
      </w:r>
      <w:r w:rsidR="005932D3" w:rsidRPr="00E436A3">
        <w:t xml:space="preserve"> </w:t>
      </w:r>
      <w:r w:rsidR="003A06A7" w:rsidRPr="00E436A3">
        <w:t>Tiek pieņemtas juridiskās normas, kas ievērojami ierobežo tiesības sniegt</w:t>
      </w:r>
      <w:r w:rsidR="006926E8" w:rsidRPr="00E436A3">
        <w:t xml:space="preserve"> </w:t>
      </w:r>
      <w:r w:rsidR="00937447" w:rsidRPr="00E436A3">
        <w:t xml:space="preserve">vietējai kopienai </w:t>
      </w:r>
      <w:r w:rsidR="006926E8" w:rsidRPr="00E436A3">
        <w:t xml:space="preserve">nepastarpinātu informāciju par </w:t>
      </w:r>
      <w:r w:rsidR="00216EF5" w:rsidRPr="00E436A3">
        <w:t>pašvaldību.</w:t>
      </w:r>
    </w:p>
    <w:p w14:paraId="3B4E8649" w14:textId="1D6880A9" w:rsidR="000F0EE1" w:rsidRPr="00E436A3" w:rsidRDefault="000F0EE1" w:rsidP="005D4468">
      <w:pPr>
        <w:jc w:val="both"/>
      </w:pPr>
      <w:r w:rsidRPr="00E436A3">
        <w:lastRenderedPageBreak/>
        <w:t xml:space="preserve">Lūdzam Eiropas Padomes Vietējo un reģionālo pašvaldību kongresu izvērtēt situāciju un nozīmēt Eiropas </w:t>
      </w:r>
      <w:r w:rsidR="00937447" w:rsidRPr="00E436A3">
        <w:t>v</w:t>
      </w:r>
      <w:r w:rsidRPr="00E436A3">
        <w:t xml:space="preserve">ietējo pašvaldību hartas ievērošanas </w:t>
      </w:r>
      <w:r w:rsidR="00937447" w:rsidRPr="00E436A3">
        <w:t xml:space="preserve">ārpuskārtas </w:t>
      </w:r>
      <w:r w:rsidRPr="00E436A3">
        <w:t>monitoringu Latvijā.</w:t>
      </w:r>
    </w:p>
    <w:p w14:paraId="1ACA2870" w14:textId="1014706D" w:rsidR="00D831AD" w:rsidRPr="00E436A3" w:rsidRDefault="00D831AD" w:rsidP="005D4468">
      <w:pPr>
        <w:jc w:val="both"/>
      </w:pPr>
      <w:r w:rsidRPr="00E436A3">
        <w:t>Pielikum</w:t>
      </w:r>
      <w:r w:rsidR="0036035D" w:rsidRPr="00E436A3">
        <w:t>ā</w:t>
      </w:r>
      <w:r w:rsidRPr="00E436A3">
        <w:t xml:space="preserve">: </w:t>
      </w:r>
      <w:r w:rsidR="00CB3BC4" w:rsidRPr="00E436A3">
        <w:t>2019.</w:t>
      </w:r>
      <w:r w:rsidR="0036035D" w:rsidRPr="00E436A3">
        <w:t xml:space="preserve"> </w:t>
      </w:r>
      <w:r w:rsidR="00CB3BC4" w:rsidRPr="00E436A3">
        <w:t>g</w:t>
      </w:r>
      <w:r w:rsidR="0036035D" w:rsidRPr="00E436A3">
        <w:t>ada</w:t>
      </w:r>
      <w:r w:rsidR="00CB3BC4" w:rsidRPr="00E436A3">
        <w:t xml:space="preserve"> 16</w:t>
      </w:r>
      <w:r w:rsidR="0036035D" w:rsidRPr="00E436A3">
        <w:t xml:space="preserve">. </w:t>
      </w:r>
      <w:r w:rsidR="00CB3BC4" w:rsidRPr="00E436A3">
        <w:t xml:space="preserve">septembra </w:t>
      </w:r>
      <w:r w:rsidRPr="00E436A3">
        <w:t xml:space="preserve">LPS Domes sēdes </w:t>
      </w:r>
      <w:r w:rsidR="00CB3BC4" w:rsidRPr="00E436A3">
        <w:t xml:space="preserve">lēmumu </w:t>
      </w:r>
      <w:r w:rsidR="00937447" w:rsidRPr="00E436A3">
        <w:t>n</w:t>
      </w:r>
      <w:r w:rsidR="00E353E8" w:rsidRPr="00E436A3">
        <w:t>r</w:t>
      </w:r>
      <w:r w:rsidR="0036035D" w:rsidRPr="00E436A3">
        <w:t>.</w:t>
      </w:r>
      <w:r w:rsidR="00937447" w:rsidRPr="00E436A3">
        <w:t> </w:t>
      </w:r>
      <w:r w:rsidR="00E353E8" w:rsidRPr="00E436A3">
        <w:t>4</w:t>
      </w:r>
      <w:r w:rsidR="00CB3BC4" w:rsidRPr="00E436A3">
        <w:t xml:space="preserve"> un </w:t>
      </w:r>
      <w:r w:rsidR="00937447" w:rsidRPr="00E436A3">
        <w:t>n</w:t>
      </w:r>
      <w:r w:rsidR="00E353E8" w:rsidRPr="00E436A3">
        <w:t>r</w:t>
      </w:r>
      <w:r w:rsidR="0036035D" w:rsidRPr="00E436A3">
        <w:t>.</w:t>
      </w:r>
      <w:r w:rsidR="00937447" w:rsidRPr="00E436A3">
        <w:t> </w:t>
      </w:r>
      <w:r w:rsidR="00CB3BC4" w:rsidRPr="00E436A3">
        <w:t xml:space="preserve">5 </w:t>
      </w:r>
      <w:r w:rsidR="00E353E8" w:rsidRPr="00E436A3">
        <w:t>tulkojums</w:t>
      </w:r>
      <w:r w:rsidR="00937447" w:rsidRPr="00E436A3">
        <w:t>.</w:t>
      </w:r>
    </w:p>
    <w:p w14:paraId="7644677C" w14:textId="77777777" w:rsidR="00D831AD" w:rsidRPr="00E436A3" w:rsidRDefault="00D831AD" w:rsidP="005D4468">
      <w:pPr>
        <w:jc w:val="both"/>
      </w:pPr>
    </w:p>
    <w:p w14:paraId="6CDDC25C" w14:textId="09CAC9CB" w:rsidR="00B3062F" w:rsidRPr="00E436A3" w:rsidRDefault="00B3062F" w:rsidP="005D4468">
      <w:pPr>
        <w:jc w:val="both"/>
        <w:rPr>
          <w:b/>
          <w:bCs/>
          <w:i/>
          <w:iCs/>
        </w:rPr>
      </w:pPr>
      <w:r w:rsidRPr="00E436A3">
        <w:rPr>
          <w:b/>
          <w:bCs/>
          <w:i/>
          <w:iCs/>
        </w:rPr>
        <w:t>Ar cieņu</w:t>
      </w:r>
    </w:p>
    <w:p w14:paraId="441175F9" w14:textId="43AC3681" w:rsidR="00B3062F" w:rsidRPr="00E436A3" w:rsidRDefault="00B3062F" w:rsidP="005D4468">
      <w:pPr>
        <w:jc w:val="both"/>
        <w:rPr>
          <w:b/>
          <w:bCs/>
          <w:i/>
          <w:iCs/>
        </w:rPr>
      </w:pPr>
      <w:r w:rsidRPr="00E436A3">
        <w:rPr>
          <w:b/>
          <w:bCs/>
          <w:i/>
          <w:iCs/>
        </w:rPr>
        <w:t>Gints Kaminskis,</w:t>
      </w:r>
    </w:p>
    <w:p w14:paraId="3670129C" w14:textId="0F9EDD1B" w:rsidR="00723FC5" w:rsidRPr="00E436A3" w:rsidRDefault="0036035D" w:rsidP="005D4468">
      <w:pPr>
        <w:jc w:val="both"/>
        <w:rPr>
          <w:b/>
          <w:bCs/>
          <w:i/>
          <w:iCs/>
        </w:rPr>
      </w:pPr>
      <w:r w:rsidRPr="00E436A3">
        <w:rPr>
          <w:b/>
          <w:bCs/>
          <w:i/>
          <w:iCs/>
        </w:rPr>
        <w:t xml:space="preserve">LPS </w:t>
      </w:r>
      <w:r w:rsidR="00515E57" w:rsidRPr="00E436A3">
        <w:rPr>
          <w:b/>
          <w:bCs/>
          <w:i/>
          <w:iCs/>
        </w:rPr>
        <w:t>priekšsēdis</w:t>
      </w:r>
    </w:p>
    <w:sectPr w:rsidR="00723FC5" w:rsidRPr="00E43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477"/>
    <w:multiLevelType w:val="hybridMultilevel"/>
    <w:tmpl w:val="4A02B9D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61B2D39"/>
    <w:multiLevelType w:val="hybridMultilevel"/>
    <w:tmpl w:val="410007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5D99"/>
    <w:multiLevelType w:val="hybridMultilevel"/>
    <w:tmpl w:val="CF2C6542"/>
    <w:lvl w:ilvl="0" w:tplc="5DAE76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0A"/>
    <w:rsid w:val="0000468C"/>
    <w:rsid w:val="000054D6"/>
    <w:rsid w:val="0001795E"/>
    <w:rsid w:val="0007489A"/>
    <w:rsid w:val="000D4623"/>
    <w:rsid w:val="000E7A03"/>
    <w:rsid w:val="000F0EE1"/>
    <w:rsid w:val="00120C7C"/>
    <w:rsid w:val="00151EC0"/>
    <w:rsid w:val="001728FA"/>
    <w:rsid w:val="001A1E5C"/>
    <w:rsid w:val="001A4F93"/>
    <w:rsid w:val="001F2D25"/>
    <w:rsid w:val="00216EF5"/>
    <w:rsid w:val="00226B53"/>
    <w:rsid w:val="00227BDF"/>
    <w:rsid w:val="00270250"/>
    <w:rsid w:val="00290F87"/>
    <w:rsid w:val="002A39B1"/>
    <w:rsid w:val="002B0BB7"/>
    <w:rsid w:val="002C2840"/>
    <w:rsid w:val="0030579B"/>
    <w:rsid w:val="0034545C"/>
    <w:rsid w:val="00356E2B"/>
    <w:rsid w:val="0036035D"/>
    <w:rsid w:val="00385F7F"/>
    <w:rsid w:val="003A06A7"/>
    <w:rsid w:val="003E6F0A"/>
    <w:rsid w:val="00454524"/>
    <w:rsid w:val="00455D8F"/>
    <w:rsid w:val="00487254"/>
    <w:rsid w:val="004F6DA5"/>
    <w:rsid w:val="00504549"/>
    <w:rsid w:val="00515E57"/>
    <w:rsid w:val="00521E80"/>
    <w:rsid w:val="00556190"/>
    <w:rsid w:val="005624C4"/>
    <w:rsid w:val="005754B2"/>
    <w:rsid w:val="005932D3"/>
    <w:rsid w:val="005A6A52"/>
    <w:rsid w:val="005C0B0F"/>
    <w:rsid w:val="005C7A7D"/>
    <w:rsid w:val="005D06D1"/>
    <w:rsid w:val="005D4468"/>
    <w:rsid w:val="005E5586"/>
    <w:rsid w:val="00632600"/>
    <w:rsid w:val="006329FB"/>
    <w:rsid w:val="0063338F"/>
    <w:rsid w:val="00650D7C"/>
    <w:rsid w:val="00674E0E"/>
    <w:rsid w:val="006926E8"/>
    <w:rsid w:val="00712EC9"/>
    <w:rsid w:val="00716987"/>
    <w:rsid w:val="00723FC5"/>
    <w:rsid w:val="007464C1"/>
    <w:rsid w:val="00747409"/>
    <w:rsid w:val="00786221"/>
    <w:rsid w:val="00791938"/>
    <w:rsid w:val="007C4658"/>
    <w:rsid w:val="007D3F55"/>
    <w:rsid w:val="00800E75"/>
    <w:rsid w:val="00807191"/>
    <w:rsid w:val="00813469"/>
    <w:rsid w:val="0081575E"/>
    <w:rsid w:val="008168C1"/>
    <w:rsid w:val="00827CB2"/>
    <w:rsid w:val="00831D60"/>
    <w:rsid w:val="00841470"/>
    <w:rsid w:val="00847A92"/>
    <w:rsid w:val="008901D1"/>
    <w:rsid w:val="00894BB6"/>
    <w:rsid w:val="00895D57"/>
    <w:rsid w:val="008A7036"/>
    <w:rsid w:val="008C4C0E"/>
    <w:rsid w:val="008D1A33"/>
    <w:rsid w:val="008D794A"/>
    <w:rsid w:val="008F52D1"/>
    <w:rsid w:val="009274C7"/>
    <w:rsid w:val="00937447"/>
    <w:rsid w:val="0094026A"/>
    <w:rsid w:val="00945F0E"/>
    <w:rsid w:val="0096047B"/>
    <w:rsid w:val="00993E36"/>
    <w:rsid w:val="009B02ED"/>
    <w:rsid w:val="009C5731"/>
    <w:rsid w:val="009D4F67"/>
    <w:rsid w:val="00A21D85"/>
    <w:rsid w:val="00A26F36"/>
    <w:rsid w:val="00A27055"/>
    <w:rsid w:val="00A355AD"/>
    <w:rsid w:val="00A37B1C"/>
    <w:rsid w:val="00A45538"/>
    <w:rsid w:val="00A51720"/>
    <w:rsid w:val="00A9297A"/>
    <w:rsid w:val="00A97523"/>
    <w:rsid w:val="00AA59CE"/>
    <w:rsid w:val="00AD1BA6"/>
    <w:rsid w:val="00AF3F5C"/>
    <w:rsid w:val="00B043BB"/>
    <w:rsid w:val="00B21127"/>
    <w:rsid w:val="00B3062F"/>
    <w:rsid w:val="00B319BF"/>
    <w:rsid w:val="00B554F7"/>
    <w:rsid w:val="00B6744A"/>
    <w:rsid w:val="00BC66AD"/>
    <w:rsid w:val="00BC67B1"/>
    <w:rsid w:val="00BF26C2"/>
    <w:rsid w:val="00C14937"/>
    <w:rsid w:val="00C211AD"/>
    <w:rsid w:val="00C47274"/>
    <w:rsid w:val="00C56A25"/>
    <w:rsid w:val="00C623E4"/>
    <w:rsid w:val="00C624BC"/>
    <w:rsid w:val="00CA077B"/>
    <w:rsid w:val="00CA74A6"/>
    <w:rsid w:val="00CB3BC4"/>
    <w:rsid w:val="00CC3D2A"/>
    <w:rsid w:val="00CD3AB2"/>
    <w:rsid w:val="00CD6CB0"/>
    <w:rsid w:val="00D2089A"/>
    <w:rsid w:val="00D42A3C"/>
    <w:rsid w:val="00D50EA8"/>
    <w:rsid w:val="00D52F37"/>
    <w:rsid w:val="00D831AD"/>
    <w:rsid w:val="00D87D78"/>
    <w:rsid w:val="00DC3215"/>
    <w:rsid w:val="00DC32A2"/>
    <w:rsid w:val="00E353E8"/>
    <w:rsid w:val="00E436A3"/>
    <w:rsid w:val="00E533A3"/>
    <w:rsid w:val="00E71D6A"/>
    <w:rsid w:val="00E81EBB"/>
    <w:rsid w:val="00EA7335"/>
    <w:rsid w:val="00EE20F5"/>
    <w:rsid w:val="00F12C43"/>
    <w:rsid w:val="00F22EC7"/>
    <w:rsid w:val="00F37CC2"/>
    <w:rsid w:val="00F41716"/>
    <w:rsid w:val="00F46352"/>
    <w:rsid w:val="00F8030A"/>
    <w:rsid w:val="00FD76FA"/>
    <w:rsid w:val="00FE6AFB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AABB9"/>
  <w15:chartTrackingRefBased/>
  <w15:docId w15:val="{784F6569-13E5-46F6-A9E1-EFFEE86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79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57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37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6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62F8F225E414A9657A9539FF00BBA" ma:contentTypeVersion="13" ma:contentTypeDescription="Izveidot jaunu dokumentu." ma:contentTypeScope="" ma:versionID="22a32eb5abcbcfdc8779b618b9ace62d">
  <xsd:schema xmlns:xsd="http://www.w3.org/2001/XMLSchema" xmlns:xs="http://www.w3.org/2001/XMLSchema" xmlns:p="http://schemas.microsoft.com/office/2006/metadata/properties" xmlns:ns1="http://schemas.microsoft.com/sharepoint/v3" xmlns:ns3="220337a6-b8e6-4869-b294-8f0c58009ee7" xmlns:ns4="9e4fd33c-8136-49a4-943f-439204d3ad83" targetNamespace="http://schemas.microsoft.com/office/2006/metadata/properties" ma:root="true" ma:fieldsID="d2026a512589c8eeb791a99864819f43" ns1:_="" ns3:_="" ns4:_="">
    <xsd:import namespace="http://schemas.microsoft.com/sharepoint/v3"/>
    <xsd:import namespace="220337a6-b8e6-4869-b294-8f0c58009ee7"/>
    <xsd:import namespace="9e4fd33c-8136-49a4-943f-439204d3a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337a6-b8e6-4869-b294-8f0c58009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fd33c-8136-49a4-943f-439204d3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CE50E-4999-489D-BEC5-B2F303F734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F1952F-F1AB-4CA8-A987-E5F8AB813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0C164-FF0B-4480-AF13-657006F5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0337a6-b8e6-4869-b294-8f0c58009ee7"/>
    <ds:schemaRef ds:uri="9e4fd33c-8136-49a4-943f-439204d3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9091</Words>
  <Characters>5183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Pudža</dc:creator>
  <cp:keywords/>
  <dc:description/>
  <cp:lastModifiedBy>Gunta Klismeta</cp:lastModifiedBy>
  <cp:revision>4</cp:revision>
  <cp:lastPrinted>2019-10-09T05:57:00Z</cp:lastPrinted>
  <dcterms:created xsi:type="dcterms:W3CDTF">2019-10-29T14:51:00Z</dcterms:created>
  <dcterms:modified xsi:type="dcterms:W3CDTF">2019-10-29T15:05:00Z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0x01010087262F8F225E414A9657A9539FF00BBA</vt:lpwstr>
  </property>
</Properties>
</file>